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FBA03" w14:textId="185282ED" w:rsidR="00352A40" w:rsidRPr="00397A74" w:rsidRDefault="00397A74">
      <w:pPr>
        <w:rPr>
          <w:b/>
          <w:bCs/>
          <w:sz w:val="24"/>
          <w:szCs w:val="24"/>
        </w:rPr>
      </w:pPr>
      <w:r w:rsidRPr="00397A74">
        <w:rPr>
          <w:b/>
          <w:bCs/>
          <w:sz w:val="24"/>
          <w:szCs w:val="24"/>
        </w:rPr>
        <w:t xml:space="preserve">Annex </w:t>
      </w:r>
      <w:r w:rsidR="00715714">
        <w:rPr>
          <w:b/>
          <w:bCs/>
          <w:sz w:val="24"/>
          <w:szCs w:val="24"/>
        </w:rPr>
        <w:t>10</w:t>
      </w:r>
    </w:p>
    <w:p w14:paraId="69F38511" w14:textId="0EFA4198" w:rsidR="00397A74" w:rsidRPr="00397A74" w:rsidRDefault="00397A74">
      <w:pPr>
        <w:rPr>
          <w:sz w:val="24"/>
          <w:szCs w:val="24"/>
        </w:rPr>
      </w:pPr>
      <w:r w:rsidRPr="00397A74">
        <w:rPr>
          <w:sz w:val="24"/>
          <w:szCs w:val="24"/>
        </w:rPr>
        <w:t>List of previous modules and documents that can be used as a basis for the module or as a resource material</w:t>
      </w:r>
    </w:p>
    <w:p w14:paraId="2D66EDD7" w14:textId="77777777" w:rsidR="00397A74" w:rsidRDefault="00397A74"/>
    <w:p w14:paraId="1D2BF999" w14:textId="0944D033"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Times New Roman"/>
          <w:sz w:val="24"/>
          <w:szCs w:val="24"/>
        </w:rPr>
        <w:t>In a table below is given for each future module the list of materials that can be used as a basi</w:t>
      </w:r>
      <w:r>
        <w:rPr>
          <w:rFonts w:ascii="Calibri" w:eastAsia="Calibri" w:hAnsi="Calibri" w:cs="Times New Roman"/>
          <w:sz w:val="24"/>
          <w:szCs w:val="24"/>
        </w:rPr>
        <w:t>s</w:t>
      </w:r>
      <w:r w:rsidRPr="00397A74">
        <w:rPr>
          <w:rFonts w:ascii="Calibri" w:eastAsia="Calibri" w:hAnsi="Calibri" w:cs="Times New Roman"/>
          <w:sz w:val="24"/>
          <w:szCs w:val="24"/>
        </w:rPr>
        <w:t xml:space="preserve"> </w:t>
      </w:r>
      <w:r>
        <w:rPr>
          <w:rFonts w:ascii="Calibri" w:eastAsia="Calibri" w:hAnsi="Calibri" w:cs="Times New Roman"/>
          <w:sz w:val="24"/>
          <w:szCs w:val="24"/>
        </w:rPr>
        <w:t xml:space="preserve">for the </w:t>
      </w:r>
      <w:r w:rsidRPr="00397A74">
        <w:rPr>
          <w:rFonts w:ascii="Calibri" w:eastAsia="Calibri" w:hAnsi="Calibri" w:cs="Times New Roman"/>
          <w:sz w:val="24"/>
          <w:szCs w:val="24"/>
        </w:rPr>
        <w:t>module or as a resource material package while working on the new WM training curriculum.</w:t>
      </w:r>
    </w:p>
    <w:p w14:paraId="3B133454" w14:textId="77777777" w:rsidR="00397A74" w:rsidRPr="00397A74" w:rsidRDefault="00397A74" w:rsidP="00397A74">
      <w:pPr>
        <w:jc w:val="both"/>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2245"/>
        <w:gridCol w:w="3780"/>
        <w:gridCol w:w="3325"/>
      </w:tblGrid>
      <w:tr w:rsidR="00397A74" w:rsidRPr="00397A74" w14:paraId="30001AE4" w14:textId="77777777" w:rsidTr="00BB2A05">
        <w:tc>
          <w:tcPr>
            <w:tcW w:w="2245" w:type="dxa"/>
          </w:tcPr>
          <w:p w14:paraId="6ACB5ADF" w14:textId="77777777" w:rsidR="00397A74" w:rsidRPr="00397A74" w:rsidRDefault="00397A74" w:rsidP="00397A74">
            <w:pPr>
              <w:jc w:val="both"/>
              <w:rPr>
                <w:rFonts w:ascii="Calibri" w:eastAsia="Calibri" w:hAnsi="Calibri" w:cs="Calibri"/>
                <w:sz w:val="24"/>
                <w:szCs w:val="24"/>
              </w:rPr>
            </w:pPr>
            <w:r w:rsidRPr="00397A74">
              <w:rPr>
                <w:rFonts w:ascii="Calibri" w:eastAsia="Calibri" w:hAnsi="Calibri" w:cs="Calibri"/>
                <w:b/>
                <w:bCs/>
                <w:sz w:val="24"/>
                <w:szCs w:val="24"/>
              </w:rPr>
              <w:t xml:space="preserve">MODUL 1: WASTE MANAGEMENT AND PLANNING SYSTEM </w:t>
            </w:r>
          </w:p>
        </w:tc>
        <w:tc>
          <w:tcPr>
            <w:tcW w:w="3780" w:type="dxa"/>
          </w:tcPr>
          <w:p w14:paraId="166A0D7B" w14:textId="77777777" w:rsidR="00397A74" w:rsidRPr="00397A74" w:rsidRDefault="00397A74" w:rsidP="00397A74">
            <w:pPr>
              <w:jc w:val="center"/>
              <w:rPr>
                <w:rFonts w:ascii="Calibri" w:eastAsia="Calibri" w:hAnsi="Calibri" w:cs="Calibri"/>
                <w:sz w:val="24"/>
                <w:szCs w:val="24"/>
              </w:rPr>
            </w:pPr>
            <w:r w:rsidRPr="00397A74">
              <w:rPr>
                <w:rFonts w:ascii="Calibri" w:eastAsia="Calibri" w:hAnsi="Calibri" w:cs="Calibri"/>
                <w:sz w:val="24"/>
                <w:szCs w:val="24"/>
              </w:rPr>
              <w:t>Basic module</w:t>
            </w:r>
          </w:p>
        </w:tc>
        <w:tc>
          <w:tcPr>
            <w:tcW w:w="3325" w:type="dxa"/>
          </w:tcPr>
          <w:p w14:paraId="7D93F3E2" w14:textId="77777777" w:rsidR="00397A74" w:rsidRPr="00397A74" w:rsidRDefault="00397A74" w:rsidP="00397A74">
            <w:pPr>
              <w:jc w:val="center"/>
              <w:rPr>
                <w:rFonts w:ascii="Calibri" w:eastAsia="Calibri" w:hAnsi="Calibri" w:cs="Calibri"/>
                <w:sz w:val="24"/>
                <w:szCs w:val="24"/>
              </w:rPr>
            </w:pPr>
            <w:r w:rsidRPr="00397A74">
              <w:rPr>
                <w:rFonts w:ascii="Calibri" w:eastAsia="Calibri" w:hAnsi="Calibri" w:cs="Calibri"/>
                <w:sz w:val="24"/>
                <w:szCs w:val="24"/>
              </w:rPr>
              <w:t>Resource material Package</w:t>
            </w:r>
          </w:p>
        </w:tc>
      </w:tr>
      <w:tr w:rsidR="00397A74" w:rsidRPr="00397A74" w14:paraId="66E03516" w14:textId="77777777" w:rsidTr="00BB2A05">
        <w:tc>
          <w:tcPr>
            <w:tcW w:w="2245" w:type="dxa"/>
            <w:vMerge w:val="restart"/>
          </w:tcPr>
          <w:p w14:paraId="0F1464FD" w14:textId="77777777" w:rsidR="00397A74" w:rsidRPr="00397A74" w:rsidRDefault="00397A74" w:rsidP="00397A74">
            <w:pPr>
              <w:jc w:val="both"/>
              <w:rPr>
                <w:rFonts w:ascii="Calibri" w:eastAsia="Calibri" w:hAnsi="Calibri" w:cs="Calibri"/>
                <w:b/>
                <w:bCs/>
                <w:sz w:val="24"/>
                <w:szCs w:val="24"/>
              </w:rPr>
            </w:pPr>
            <w:r w:rsidRPr="00397A74">
              <w:rPr>
                <w:rFonts w:ascii="Calibri" w:eastAsia="Calibri" w:hAnsi="Calibri" w:cs="Calibri"/>
                <w:sz w:val="24"/>
                <w:szCs w:val="24"/>
              </w:rPr>
              <w:t>Planning process (local, regional and national), legal and institutional framework</w:t>
            </w:r>
          </w:p>
        </w:tc>
        <w:tc>
          <w:tcPr>
            <w:tcW w:w="3780" w:type="dxa"/>
            <w:vAlign w:val="bottom"/>
          </w:tcPr>
          <w:p w14:paraId="1C72EE51" w14:textId="77777777" w:rsidR="00397A74" w:rsidRPr="00397A74" w:rsidRDefault="00397A74" w:rsidP="00397A74">
            <w:pPr>
              <w:jc w:val="both"/>
              <w:rPr>
                <w:rFonts w:ascii="Calibri" w:eastAsia="Calibri" w:hAnsi="Calibri" w:cs="Calibri"/>
                <w:sz w:val="24"/>
                <w:szCs w:val="24"/>
              </w:rPr>
            </w:pPr>
            <w:r w:rsidRPr="00397A74">
              <w:rPr>
                <w:rFonts w:ascii="Calibri" w:eastAsia="Calibri" w:hAnsi="Calibri" w:cs="Calibri"/>
                <w:sz w:val="24"/>
                <w:szCs w:val="24"/>
              </w:rPr>
              <w:t xml:space="preserve">Organization of waste management service, institutional, regulatory, informative and monitoring aspects </w:t>
            </w:r>
          </w:p>
        </w:tc>
        <w:tc>
          <w:tcPr>
            <w:tcW w:w="3325" w:type="dxa"/>
          </w:tcPr>
          <w:p w14:paraId="002D59F1" w14:textId="77777777" w:rsidR="00397A74" w:rsidRPr="00397A74" w:rsidRDefault="00397A74" w:rsidP="00397A74">
            <w:pPr>
              <w:jc w:val="both"/>
              <w:rPr>
                <w:rFonts w:ascii="Calibri" w:eastAsia="Calibri" w:hAnsi="Calibri" w:cs="Calibri"/>
                <w:sz w:val="24"/>
                <w:szCs w:val="24"/>
              </w:rPr>
            </w:pPr>
            <w:r w:rsidRPr="00397A74">
              <w:rPr>
                <w:rFonts w:ascii="Calibri" w:eastAsia="Calibri" w:hAnsi="Calibri" w:cs="Calibri"/>
                <w:sz w:val="24"/>
                <w:szCs w:val="24"/>
              </w:rPr>
              <w:t>Manual on local planning of waste management</w:t>
            </w:r>
          </w:p>
        </w:tc>
      </w:tr>
      <w:tr w:rsidR="00397A74" w:rsidRPr="00397A74" w14:paraId="2218AF97" w14:textId="77777777" w:rsidTr="00BB2A05">
        <w:tc>
          <w:tcPr>
            <w:tcW w:w="2245" w:type="dxa"/>
            <w:vMerge/>
          </w:tcPr>
          <w:p w14:paraId="42617239" w14:textId="77777777" w:rsidR="00397A74" w:rsidRPr="00397A74" w:rsidRDefault="00397A74" w:rsidP="00397A74">
            <w:pPr>
              <w:jc w:val="both"/>
              <w:rPr>
                <w:rFonts w:ascii="Calibri" w:eastAsia="Calibri" w:hAnsi="Calibri" w:cs="Calibri"/>
                <w:sz w:val="24"/>
                <w:szCs w:val="24"/>
              </w:rPr>
            </w:pPr>
          </w:p>
        </w:tc>
        <w:tc>
          <w:tcPr>
            <w:tcW w:w="3780" w:type="dxa"/>
            <w:vAlign w:val="center"/>
          </w:tcPr>
          <w:p w14:paraId="2F67C5C8" w14:textId="77777777" w:rsidR="00397A74" w:rsidRPr="00397A74" w:rsidRDefault="00397A74" w:rsidP="00397A74">
            <w:pPr>
              <w:jc w:val="both"/>
              <w:rPr>
                <w:rFonts w:ascii="Calibri" w:eastAsia="Calibri" w:hAnsi="Calibri" w:cs="Calibri"/>
                <w:sz w:val="24"/>
                <w:szCs w:val="24"/>
              </w:rPr>
            </w:pPr>
            <w:r w:rsidRPr="00397A74">
              <w:rPr>
                <w:rFonts w:ascii="Calibri" w:eastAsia="Calibri" w:hAnsi="Calibri" w:cs="Calibri"/>
                <w:sz w:val="24"/>
                <w:szCs w:val="24"/>
              </w:rPr>
              <w:t>Legislation, Policies, Strategies, Functions and local competences;</w:t>
            </w:r>
          </w:p>
        </w:tc>
        <w:tc>
          <w:tcPr>
            <w:tcW w:w="3325" w:type="dxa"/>
          </w:tcPr>
          <w:p w14:paraId="3B1B51AA" w14:textId="77777777" w:rsidR="00397A74" w:rsidRPr="00397A74" w:rsidRDefault="00397A74" w:rsidP="00397A74">
            <w:pPr>
              <w:jc w:val="both"/>
              <w:rPr>
                <w:rFonts w:ascii="Calibri" w:eastAsia="Calibri" w:hAnsi="Calibri" w:cs="Calibri"/>
                <w:sz w:val="24"/>
                <w:szCs w:val="24"/>
              </w:rPr>
            </w:pPr>
          </w:p>
        </w:tc>
      </w:tr>
      <w:tr w:rsidR="00397A74" w:rsidRPr="00397A74" w14:paraId="430821D9" w14:textId="77777777" w:rsidTr="00BB2A05">
        <w:tc>
          <w:tcPr>
            <w:tcW w:w="2245" w:type="dxa"/>
            <w:vMerge/>
          </w:tcPr>
          <w:p w14:paraId="2814FC9D" w14:textId="77777777" w:rsidR="00397A74" w:rsidRPr="00397A74" w:rsidRDefault="00397A74" w:rsidP="00397A74">
            <w:pPr>
              <w:jc w:val="both"/>
              <w:rPr>
                <w:rFonts w:ascii="Calibri" w:eastAsia="Calibri" w:hAnsi="Calibri" w:cs="Calibri"/>
                <w:sz w:val="24"/>
                <w:szCs w:val="24"/>
              </w:rPr>
            </w:pPr>
          </w:p>
        </w:tc>
        <w:tc>
          <w:tcPr>
            <w:tcW w:w="3780" w:type="dxa"/>
            <w:vAlign w:val="center"/>
          </w:tcPr>
          <w:p w14:paraId="482BD4D2" w14:textId="77777777" w:rsidR="00397A74" w:rsidRPr="00397A74" w:rsidRDefault="00397A74" w:rsidP="00397A74">
            <w:pPr>
              <w:jc w:val="both"/>
              <w:rPr>
                <w:rFonts w:ascii="Calibri" w:eastAsia="Calibri" w:hAnsi="Calibri" w:cs="Calibri"/>
                <w:sz w:val="24"/>
                <w:szCs w:val="24"/>
              </w:rPr>
            </w:pPr>
            <w:r w:rsidRPr="00397A74">
              <w:rPr>
                <w:rFonts w:ascii="Calibri" w:eastAsia="Calibri" w:hAnsi="Calibri" w:cs="Calibri"/>
                <w:sz w:val="24"/>
                <w:szCs w:val="24"/>
              </w:rPr>
              <w:t>Planning cascade methodology – alignment of local and regional plans, technical options, monitoring and evaluation;</w:t>
            </w:r>
          </w:p>
        </w:tc>
        <w:tc>
          <w:tcPr>
            <w:tcW w:w="3325" w:type="dxa"/>
          </w:tcPr>
          <w:p w14:paraId="5490688F" w14:textId="77777777" w:rsidR="00397A74" w:rsidRPr="00397A74" w:rsidRDefault="00397A74" w:rsidP="00397A74">
            <w:pPr>
              <w:jc w:val="both"/>
              <w:rPr>
                <w:rFonts w:ascii="Calibri" w:eastAsia="Calibri" w:hAnsi="Calibri" w:cs="Calibri"/>
                <w:sz w:val="24"/>
                <w:szCs w:val="24"/>
              </w:rPr>
            </w:pPr>
          </w:p>
        </w:tc>
      </w:tr>
      <w:tr w:rsidR="00397A74" w:rsidRPr="00397A74" w14:paraId="23EE389E" w14:textId="77777777" w:rsidTr="00BB2A05">
        <w:tc>
          <w:tcPr>
            <w:tcW w:w="2245" w:type="dxa"/>
          </w:tcPr>
          <w:p w14:paraId="2A074AE4" w14:textId="77777777" w:rsidR="00397A74" w:rsidRPr="00397A74" w:rsidRDefault="00397A74" w:rsidP="00397A74">
            <w:pPr>
              <w:jc w:val="both"/>
              <w:rPr>
                <w:rFonts w:ascii="Calibri" w:eastAsia="Calibri" w:hAnsi="Calibri" w:cs="Calibri"/>
                <w:sz w:val="24"/>
                <w:szCs w:val="24"/>
              </w:rPr>
            </w:pPr>
            <w:r w:rsidRPr="00397A74">
              <w:rPr>
                <w:rFonts w:ascii="Calibri" w:eastAsia="Calibri" w:hAnsi="Calibri" w:cs="Calibri"/>
                <w:sz w:val="24"/>
                <w:szCs w:val="24"/>
              </w:rPr>
              <w:t>Municipal regulation on integrated waste management</w:t>
            </w:r>
          </w:p>
        </w:tc>
        <w:tc>
          <w:tcPr>
            <w:tcW w:w="3780" w:type="dxa"/>
          </w:tcPr>
          <w:p w14:paraId="74D0C41F" w14:textId="77777777" w:rsidR="00397A74" w:rsidRPr="00397A74" w:rsidRDefault="00397A74" w:rsidP="00397A74">
            <w:pPr>
              <w:jc w:val="both"/>
              <w:rPr>
                <w:rFonts w:ascii="Calibri" w:eastAsia="Calibri" w:hAnsi="Calibri" w:cs="Calibri"/>
                <w:sz w:val="24"/>
                <w:szCs w:val="24"/>
              </w:rPr>
            </w:pPr>
          </w:p>
        </w:tc>
        <w:tc>
          <w:tcPr>
            <w:tcW w:w="3325" w:type="dxa"/>
          </w:tcPr>
          <w:p w14:paraId="0800DB6A" w14:textId="77777777" w:rsidR="00397A74" w:rsidRPr="00397A74" w:rsidRDefault="00397A74" w:rsidP="00397A74">
            <w:pPr>
              <w:jc w:val="both"/>
              <w:rPr>
                <w:rFonts w:ascii="Calibri" w:eastAsia="Calibri" w:hAnsi="Calibri" w:cs="Calibri"/>
                <w:color w:val="0070C0"/>
                <w:sz w:val="24"/>
                <w:szCs w:val="24"/>
              </w:rPr>
            </w:pPr>
            <w:r w:rsidRPr="00397A74">
              <w:rPr>
                <w:rFonts w:ascii="Calibri" w:eastAsia="Calibri" w:hAnsi="Calibri" w:cs="Calibri"/>
                <w:sz w:val="24"/>
                <w:szCs w:val="24"/>
              </w:rPr>
              <w:t xml:space="preserve">Models of Regulation and WLMP drafted during 2019 – 2021 </w:t>
            </w:r>
          </w:p>
        </w:tc>
      </w:tr>
      <w:tr w:rsidR="00397A74" w:rsidRPr="00397A74" w14:paraId="4CBE4F1C" w14:textId="77777777" w:rsidTr="00BB2A05">
        <w:tc>
          <w:tcPr>
            <w:tcW w:w="2245" w:type="dxa"/>
            <w:vMerge w:val="restart"/>
          </w:tcPr>
          <w:p w14:paraId="04FEC757" w14:textId="77777777" w:rsidR="00397A74" w:rsidRPr="00397A74" w:rsidRDefault="00397A74" w:rsidP="00397A74">
            <w:pPr>
              <w:jc w:val="both"/>
              <w:rPr>
                <w:rFonts w:ascii="Calibri" w:eastAsia="Calibri" w:hAnsi="Calibri" w:cs="Calibri"/>
                <w:sz w:val="24"/>
                <w:szCs w:val="24"/>
              </w:rPr>
            </w:pPr>
            <w:r w:rsidRPr="00397A74">
              <w:rPr>
                <w:rFonts w:ascii="Calibri" w:eastAsia="Calibri" w:hAnsi="Calibri" w:cs="Calibri"/>
                <w:sz w:val="24"/>
                <w:szCs w:val="24"/>
              </w:rPr>
              <w:t>Data collection system, waste data analyze performance monitoring and reporting</w:t>
            </w:r>
          </w:p>
        </w:tc>
        <w:tc>
          <w:tcPr>
            <w:tcW w:w="3780" w:type="dxa"/>
          </w:tcPr>
          <w:p w14:paraId="3D320216" w14:textId="77777777" w:rsidR="00397A74" w:rsidRPr="00397A74" w:rsidRDefault="00397A74" w:rsidP="00397A74">
            <w:pPr>
              <w:jc w:val="both"/>
              <w:rPr>
                <w:rFonts w:ascii="Calibri" w:eastAsia="Calibri" w:hAnsi="Calibri" w:cs="Calibri"/>
                <w:sz w:val="24"/>
                <w:szCs w:val="24"/>
              </w:rPr>
            </w:pPr>
          </w:p>
        </w:tc>
        <w:tc>
          <w:tcPr>
            <w:tcW w:w="3325" w:type="dxa"/>
            <w:vAlign w:val="center"/>
          </w:tcPr>
          <w:p w14:paraId="4286E9A6" w14:textId="77777777" w:rsidR="00397A74" w:rsidRPr="00397A74" w:rsidRDefault="00397A74" w:rsidP="00397A74">
            <w:pPr>
              <w:jc w:val="both"/>
              <w:rPr>
                <w:rFonts w:ascii="Calibri" w:eastAsia="Calibri" w:hAnsi="Calibri" w:cs="Calibri"/>
                <w:sz w:val="24"/>
                <w:szCs w:val="24"/>
              </w:rPr>
            </w:pPr>
            <w:r w:rsidRPr="00397A74">
              <w:rPr>
                <w:rFonts w:ascii="Calibri" w:eastAsia="Calibri" w:hAnsi="Calibri" w:cs="Calibri"/>
                <w:sz w:val="24"/>
                <w:szCs w:val="24"/>
              </w:rPr>
              <w:t xml:space="preserve">Methodology for data collection and reporting </w:t>
            </w:r>
          </w:p>
        </w:tc>
      </w:tr>
      <w:tr w:rsidR="00397A74" w:rsidRPr="00397A74" w14:paraId="44B3D5F1" w14:textId="77777777" w:rsidTr="00BB2A05">
        <w:tc>
          <w:tcPr>
            <w:tcW w:w="2245" w:type="dxa"/>
            <w:vMerge/>
          </w:tcPr>
          <w:p w14:paraId="3BEDBBCA" w14:textId="77777777" w:rsidR="00397A74" w:rsidRPr="00397A74" w:rsidRDefault="00397A74" w:rsidP="00397A74">
            <w:pPr>
              <w:jc w:val="both"/>
              <w:rPr>
                <w:rFonts w:ascii="Calibri" w:eastAsia="Calibri" w:hAnsi="Calibri" w:cs="Calibri"/>
                <w:sz w:val="24"/>
                <w:szCs w:val="24"/>
              </w:rPr>
            </w:pPr>
          </w:p>
        </w:tc>
        <w:tc>
          <w:tcPr>
            <w:tcW w:w="3780" w:type="dxa"/>
          </w:tcPr>
          <w:p w14:paraId="2A4A0D53" w14:textId="77777777" w:rsidR="00397A74" w:rsidRPr="00397A74" w:rsidRDefault="00397A74" w:rsidP="00397A74">
            <w:pPr>
              <w:jc w:val="both"/>
              <w:rPr>
                <w:rFonts w:ascii="Calibri" w:eastAsia="Calibri" w:hAnsi="Calibri" w:cs="Calibri"/>
                <w:sz w:val="24"/>
                <w:szCs w:val="24"/>
              </w:rPr>
            </w:pPr>
          </w:p>
        </w:tc>
        <w:tc>
          <w:tcPr>
            <w:tcW w:w="3325" w:type="dxa"/>
            <w:vAlign w:val="center"/>
          </w:tcPr>
          <w:p w14:paraId="75EDF3EE" w14:textId="77777777" w:rsidR="00397A74" w:rsidRPr="00397A74" w:rsidRDefault="00397A74" w:rsidP="00397A74">
            <w:pPr>
              <w:jc w:val="both"/>
              <w:rPr>
                <w:rFonts w:ascii="Calibri" w:eastAsia="Calibri" w:hAnsi="Calibri" w:cs="Calibri"/>
                <w:sz w:val="24"/>
                <w:szCs w:val="24"/>
              </w:rPr>
            </w:pPr>
            <w:r w:rsidRPr="00397A74">
              <w:rPr>
                <w:rFonts w:ascii="Calibri" w:eastAsia="Calibri" w:hAnsi="Calibri" w:cs="Calibri"/>
                <w:sz w:val="24"/>
                <w:szCs w:val="24"/>
              </w:rPr>
              <w:t xml:space="preserve">Methodology for monitoring and action plan </w:t>
            </w:r>
          </w:p>
        </w:tc>
      </w:tr>
      <w:tr w:rsidR="00397A74" w:rsidRPr="00397A74" w14:paraId="068D0A2A" w14:textId="77777777" w:rsidTr="00BB2A05">
        <w:tc>
          <w:tcPr>
            <w:tcW w:w="2245" w:type="dxa"/>
            <w:vMerge/>
          </w:tcPr>
          <w:p w14:paraId="4223485B" w14:textId="77777777" w:rsidR="00397A74" w:rsidRPr="00397A74" w:rsidRDefault="00397A74" w:rsidP="00397A74">
            <w:pPr>
              <w:jc w:val="both"/>
              <w:rPr>
                <w:rFonts w:ascii="Calibri" w:eastAsia="Calibri" w:hAnsi="Calibri" w:cs="Calibri"/>
                <w:sz w:val="24"/>
                <w:szCs w:val="24"/>
              </w:rPr>
            </w:pPr>
          </w:p>
        </w:tc>
        <w:tc>
          <w:tcPr>
            <w:tcW w:w="3780" w:type="dxa"/>
          </w:tcPr>
          <w:p w14:paraId="5E9BA1AD" w14:textId="77777777" w:rsidR="00397A74" w:rsidRPr="00397A74" w:rsidRDefault="00397A74" w:rsidP="00397A74">
            <w:pPr>
              <w:jc w:val="both"/>
              <w:rPr>
                <w:rFonts w:ascii="Calibri" w:eastAsia="Calibri" w:hAnsi="Calibri" w:cs="Calibri"/>
                <w:sz w:val="24"/>
                <w:szCs w:val="24"/>
              </w:rPr>
            </w:pPr>
          </w:p>
        </w:tc>
        <w:tc>
          <w:tcPr>
            <w:tcW w:w="3325" w:type="dxa"/>
            <w:vAlign w:val="center"/>
          </w:tcPr>
          <w:p w14:paraId="139642CA" w14:textId="77777777" w:rsidR="00397A74" w:rsidRPr="00397A74" w:rsidRDefault="00397A74" w:rsidP="00397A74">
            <w:pPr>
              <w:jc w:val="both"/>
              <w:rPr>
                <w:rFonts w:ascii="Calibri" w:eastAsia="Calibri" w:hAnsi="Calibri" w:cs="Calibri"/>
                <w:sz w:val="24"/>
                <w:szCs w:val="24"/>
              </w:rPr>
            </w:pPr>
            <w:r w:rsidRPr="00397A74">
              <w:rPr>
                <w:rFonts w:ascii="Calibri" w:eastAsia="Calibri" w:hAnsi="Calibri" w:cs="Calibri"/>
                <w:sz w:val="24"/>
                <w:szCs w:val="24"/>
              </w:rPr>
              <w:t xml:space="preserve">Methodology for performance and affordability </w:t>
            </w:r>
          </w:p>
        </w:tc>
      </w:tr>
      <w:tr w:rsidR="00397A74" w:rsidRPr="00397A74" w14:paraId="2602BC24" w14:textId="77777777" w:rsidTr="00BB2A05">
        <w:tc>
          <w:tcPr>
            <w:tcW w:w="2245" w:type="dxa"/>
            <w:vMerge/>
          </w:tcPr>
          <w:p w14:paraId="6BCBAB5F" w14:textId="77777777" w:rsidR="00397A74" w:rsidRPr="00397A74" w:rsidRDefault="00397A74" w:rsidP="00397A74">
            <w:pPr>
              <w:jc w:val="both"/>
              <w:rPr>
                <w:rFonts w:ascii="Calibri" w:eastAsia="Calibri" w:hAnsi="Calibri" w:cs="Calibri"/>
                <w:sz w:val="24"/>
                <w:szCs w:val="24"/>
              </w:rPr>
            </w:pPr>
          </w:p>
        </w:tc>
        <w:tc>
          <w:tcPr>
            <w:tcW w:w="3780" w:type="dxa"/>
          </w:tcPr>
          <w:p w14:paraId="7F7A4B9A" w14:textId="77777777" w:rsidR="00397A74" w:rsidRPr="00397A74" w:rsidRDefault="00397A74" w:rsidP="00397A74">
            <w:pPr>
              <w:jc w:val="both"/>
              <w:rPr>
                <w:rFonts w:ascii="Calibri" w:eastAsia="Calibri" w:hAnsi="Calibri" w:cs="Calibri"/>
                <w:sz w:val="24"/>
                <w:szCs w:val="24"/>
              </w:rPr>
            </w:pPr>
          </w:p>
        </w:tc>
        <w:tc>
          <w:tcPr>
            <w:tcW w:w="3325" w:type="dxa"/>
            <w:vAlign w:val="center"/>
          </w:tcPr>
          <w:p w14:paraId="11B348F6" w14:textId="77777777" w:rsidR="00397A74" w:rsidRPr="00397A74" w:rsidRDefault="00397A74" w:rsidP="00397A74">
            <w:pPr>
              <w:jc w:val="both"/>
              <w:rPr>
                <w:rFonts w:ascii="Calibri" w:eastAsia="Calibri" w:hAnsi="Calibri" w:cs="Calibri"/>
                <w:sz w:val="24"/>
                <w:szCs w:val="24"/>
              </w:rPr>
            </w:pPr>
            <w:r w:rsidRPr="00397A74">
              <w:rPr>
                <w:rFonts w:ascii="Calibri" w:eastAsia="Calibri" w:hAnsi="Calibri" w:cs="Calibri"/>
                <w:sz w:val="24"/>
                <w:szCs w:val="24"/>
              </w:rPr>
              <w:t>Service Monitoring System. Models and procedures.</w:t>
            </w:r>
          </w:p>
        </w:tc>
      </w:tr>
      <w:tr w:rsidR="00397A74" w:rsidRPr="00397A74" w14:paraId="2B912347" w14:textId="77777777" w:rsidTr="00BB2A05">
        <w:tc>
          <w:tcPr>
            <w:tcW w:w="2245" w:type="dxa"/>
          </w:tcPr>
          <w:p w14:paraId="51F88273" w14:textId="77777777" w:rsidR="00397A74" w:rsidRPr="00397A74" w:rsidRDefault="00397A74" w:rsidP="00397A74">
            <w:pPr>
              <w:jc w:val="both"/>
              <w:rPr>
                <w:rFonts w:ascii="Calibri" w:eastAsia="Calibri" w:hAnsi="Calibri" w:cs="Calibri"/>
                <w:sz w:val="24"/>
                <w:szCs w:val="24"/>
              </w:rPr>
            </w:pPr>
            <w:r w:rsidRPr="00397A74">
              <w:rPr>
                <w:rFonts w:ascii="Calibri" w:eastAsia="Calibri" w:hAnsi="Calibri" w:cs="Calibri"/>
                <w:sz w:val="24"/>
                <w:szCs w:val="24"/>
              </w:rPr>
              <w:t>Human resources and management of the service in municipal and regional level</w:t>
            </w:r>
          </w:p>
        </w:tc>
        <w:tc>
          <w:tcPr>
            <w:tcW w:w="3780" w:type="dxa"/>
          </w:tcPr>
          <w:p w14:paraId="45B159A8" w14:textId="77777777" w:rsidR="00397A74" w:rsidRPr="00397A74" w:rsidRDefault="00397A74" w:rsidP="00397A74">
            <w:pPr>
              <w:jc w:val="both"/>
              <w:rPr>
                <w:rFonts w:ascii="Calibri" w:eastAsia="Calibri" w:hAnsi="Calibri" w:cs="Calibri"/>
                <w:sz w:val="24"/>
                <w:szCs w:val="24"/>
              </w:rPr>
            </w:pPr>
            <w:r w:rsidRPr="00397A74">
              <w:rPr>
                <w:rFonts w:ascii="Calibri" w:eastAsia="Calibri" w:hAnsi="Calibri" w:cs="Calibri"/>
                <w:sz w:val="24"/>
                <w:szCs w:val="24"/>
              </w:rPr>
              <w:t>Need assessment for training, institutional strengthening and establishing municipal structure – including job task description and unit regulation</w:t>
            </w:r>
          </w:p>
        </w:tc>
        <w:tc>
          <w:tcPr>
            <w:tcW w:w="3325" w:type="dxa"/>
          </w:tcPr>
          <w:p w14:paraId="3FC960BE" w14:textId="77777777" w:rsidR="00397A74" w:rsidRPr="00397A74" w:rsidRDefault="00397A74" w:rsidP="00397A74">
            <w:pPr>
              <w:jc w:val="both"/>
              <w:rPr>
                <w:rFonts w:ascii="Calibri" w:eastAsia="Calibri" w:hAnsi="Calibri" w:cs="Calibri"/>
                <w:sz w:val="24"/>
                <w:szCs w:val="24"/>
              </w:rPr>
            </w:pPr>
          </w:p>
        </w:tc>
      </w:tr>
    </w:tbl>
    <w:p w14:paraId="7A0334DB" w14:textId="77777777" w:rsidR="00397A74" w:rsidRPr="00397A74" w:rsidRDefault="00397A74" w:rsidP="00397A74">
      <w:pPr>
        <w:jc w:val="both"/>
        <w:rPr>
          <w:rFonts w:ascii="Calibri" w:eastAsia="Calibri" w:hAnsi="Calibri" w:cs="Times New Roman"/>
          <w:sz w:val="24"/>
          <w:szCs w:val="24"/>
        </w:rPr>
      </w:pPr>
    </w:p>
    <w:p w14:paraId="680F9C22"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Times New Roman"/>
          <w:sz w:val="24"/>
          <w:szCs w:val="24"/>
          <w:highlight w:val="yellow"/>
        </w:rPr>
        <w:t xml:space="preserve">From the table, it is recommended that for Module 1 - Waste Management and Planning System, the training curricula developed by </w:t>
      </w:r>
      <w:proofErr w:type="spellStart"/>
      <w:r w:rsidRPr="00397A74">
        <w:rPr>
          <w:rFonts w:ascii="Calibri" w:eastAsia="Calibri" w:hAnsi="Calibri" w:cs="Times New Roman"/>
          <w:sz w:val="24"/>
          <w:szCs w:val="24"/>
          <w:highlight w:val="yellow"/>
        </w:rPr>
        <w:t>dldp</w:t>
      </w:r>
      <w:proofErr w:type="spellEnd"/>
      <w:r w:rsidRPr="00397A74">
        <w:rPr>
          <w:rFonts w:ascii="Calibri" w:eastAsia="Calibri" w:hAnsi="Calibri" w:cs="Times New Roman"/>
          <w:sz w:val="24"/>
          <w:szCs w:val="24"/>
          <w:highlight w:val="yellow"/>
        </w:rPr>
        <w:t xml:space="preserve"> and SECO project covering "Planning Process (local, </w:t>
      </w:r>
      <w:r w:rsidRPr="00397A74">
        <w:rPr>
          <w:rFonts w:ascii="Calibri" w:eastAsia="Calibri" w:hAnsi="Calibri" w:cs="Times New Roman"/>
          <w:sz w:val="24"/>
          <w:szCs w:val="24"/>
          <w:highlight w:val="yellow"/>
        </w:rPr>
        <w:lastRenderedPageBreak/>
        <w:t xml:space="preserve">regional and national), Legal and Institutional Framework" and "Human Resources and Service Management at Municipal and Regional Level" can be used as basic material to be further developed. The other two topics ("Municipal regulation on integrated waste management" and "Data collection system, waste data analysis, performance monitoring, and reporting") do not have any training structure at all and </w:t>
      </w:r>
      <w:proofErr w:type="gramStart"/>
      <w:r w:rsidRPr="00397A74">
        <w:rPr>
          <w:rFonts w:ascii="Calibri" w:eastAsia="Calibri" w:hAnsi="Calibri" w:cs="Times New Roman"/>
          <w:sz w:val="24"/>
          <w:szCs w:val="24"/>
          <w:highlight w:val="yellow"/>
        </w:rPr>
        <w:t>have to</w:t>
      </w:r>
      <w:proofErr w:type="gramEnd"/>
      <w:r w:rsidRPr="00397A74">
        <w:rPr>
          <w:rFonts w:ascii="Calibri" w:eastAsia="Calibri" w:hAnsi="Calibri" w:cs="Times New Roman"/>
          <w:sz w:val="24"/>
          <w:szCs w:val="24"/>
          <w:highlight w:val="yellow"/>
        </w:rPr>
        <w:t xml:space="preserve"> be developed from scratch using the given resource material package. Overall, the theoretical part should be updated with legislative developments and other approved documents.</w:t>
      </w:r>
      <w:r w:rsidRPr="00397A74">
        <w:rPr>
          <w:rFonts w:ascii="Calibri" w:eastAsia="Calibri" w:hAnsi="Calibri" w:cs="Times New Roman"/>
          <w:sz w:val="24"/>
          <w:szCs w:val="24"/>
        </w:rPr>
        <w:t xml:space="preserve"> </w:t>
      </w:r>
    </w:p>
    <w:p w14:paraId="39E5B7D1" w14:textId="77777777" w:rsidR="00397A74" w:rsidRPr="00397A74" w:rsidRDefault="00397A74" w:rsidP="00397A74">
      <w:pPr>
        <w:jc w:val="both"/>
        <w:rPr>
          <w:rFonts w:ascii="Calibri" w:eastAsia="Calibri" w:hAnsi="Calibri" w:cs="Times New Roman"/>
          <w:sz w:val="24"/>
          <w:szCs w:val="24"/>
        </w:rPr>
      </w:pPr>
    </w:p>
    <w:p w14:paraId="3CC9A33E" w14:textId="77777777" w:rsidR="00397A74" w:rsidRPr="00397A74" w:rsidRDefault="00397A74" w:rsidP="00397A74">
      <w:pPr>
        <w:jc w:val="both"/>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2245"/>
        <w:gridCol w:w="3780"/>
        <w:gridCol w:w="3325"/>
      </w:tblGrid>
      <w:tr w:rsidR="00397A74" w:rsidRPr="00397A74" w14:paraId="4606C672" w14:textId="77777777" w:rsidTr="00BB2A05">
        <w:tc>
          <w:tcPr>
            <w:tcW w:w="2245" w:type="dxa"/>
          </w:tcPr>
          <w:p w14:paraId="1E8864F5"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Times New Roman"/>
                <w:b/>
                <w:bCs/>
                <w:sz w:val="24"/>
                <w:szCs w:val="24"/>
              </w:rPr>
              <w:t>Modul 2: INTEGRATED WASTE MANAGEMENT</w:t>
            </w:r>
          </w:p>
        </w:tc>
        <w:tc>
          <w:tcPr>
            <w:tcW w:w="3780" w:type="dxa"/>
          </w:tcPr>
          <w:p w14:paraId="7195BFE7" w14:textId="77777777" w:rsidR="00397A74" w:rsidRPr="00397A74" w:rsidRDefault="00397A74" w:rsidP="00397A74">
            <w:pPr>
              <w:jc w:val="center"/>
              <w:rPr>
                <w:rFonts w:ascii="Calibri" w:eastAsia="Calibri" w:hAnsi="Calibri" w:cs="Times New Roman"/>
                <w:sz w:val="24"/>
                <w:szCs w:val="24"/>
              </w:rPr>
            </w:pPr>
            <w:r w:rsidRPr="00397A74">
              <w:rPr>
                <w:rFonts w:ascii="Calibri" w:eastAsia="Calibri" w:hAnsi="Calibri" w:cs="Calibri"/>
                <w:sz w:val="24"/>
                <w:szCs w:val="24"/>
              </w:rPr>
              <w:t>Basic module</w:t>
            </w:r>
          </w:p>
        </w:tc>
        <w:tc>
          <w:tcPr>
            <w:tcW w:w="3325" w:type="dxa"/>
          </w:tcPr>
          <w:p w14:paraId="18EFE3E7" w14:textId="77777777" w:rsidR="00397A74" w:rsidRPr="00397A74" w:rsidRDefault="00397A74" w:rsidP="00397A74">
            <w:pPr>
              <w:jc w:val="center"/>
              <w:rPr>
                <w:rFonts w:ascii="Calibri" w:eastAsia="Calibri" w:hAnsi="Calibri" w:cs="Times New Roman"/>
                <w:sz w:val="24"/>
                <w:szCs w:val="24"/>
              </w:rPr>
            </w:pPr>
            <w:r w:rsidRPr="00397A74">
              <w:rPr>
                <w:rFonts w:ascii="Calibri" w:eastAsia="Calibri" w:hAnsi="Calibri" w:cs="Calibri"/>
                <w:sz w:val="24"/>
                <w:szCs w:val="24"/>
              </w:rPr>
              <w:t>Resource materials</w:t>
            </w:r>
          </w:p>
        </w:tc>
      </w:tr>
      <w:tr w:rsidR="00397A74" w:rsidRPr="00397A74" w14:paraId="1148AC90" w14:textId="77777777" w:rsidTr="00BB2A05">
        <w:tc>
          <w:tcPr>
            <w:tcW w:w="2245" w:type="dxa"/>
            <w:vMerge w:val="restart"/>
          </w:tcPr>
          <w:p w14:paraId="0CF7DFBB"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Times New Roman"/>
                <w:sz w:val="24"/>
                <w:szCs w:val="24"/>
              </w:rPr>
              <w:t>Integrated collection and treatment of the waste according to EU standards</w:t>
            </w:r>
          </w:p>
        </w:tc>
        <w:tc>
          <w:tcPr>
            <w:tcW w:w="3780" w:type="dxa"/>
            <w:vMerge w:val="restart"/>
          </w:tcPr>
          <w:p w14:paraId="1C4EB405"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Planning of collection and transport of solid urban waste</w:t>
            </w:r>
          </w:p>
        </w:tc>
        <w:tc>
          <w:tcPr>
            <w:tcW w:w="3325" w:type="dxa"/>
            <w:vAlign w:val="center"/>
          </w:tcPr>
          <w:p w14:paraId="125CE84E" w14:textId="77777777" w:rsidR="00397A74" w:rsidRPr="00397A74" w:rsidRDefault="00397A74" w:rsidP="00397A74">
            <w:pPr>
              <w:jc w:val="both"/>
              <w:rPr>
                <w:rFonts w:ascii="Calibri" w:eastAsia="Calibri" w:hAnsi="Calibri" w:cs="Times New Roman"/>
                <w:b/>
                <w:bCs/>
                <w:sz w:val="24"/>
                <w:szCs w:val="24"/>
              </w:rPr>
            </w:pPr>
            <w:r w:rsidRPr="00397A74">
              <w:rPr>
                <w:rFonts w:ascii="Calibri" w:eastAsia="Calibri" w:hAnsi="Calibri" w:cs="Calibri"/>
                <w:sz w:val="24"/>
                <w:szCs w:val="24"/>
              </w:rPr>
              <w:t xml:space="preserve">Policy document on composting in Albania. Guideline for organic waste composting </w:t>
            </w:r>
          </w:p>
        </w:tc>
      </w:tr>
      <w:tr w:rsidR="00397A74" w:rsidRPr="00397A74" w14:paraId="1E11AD34" w14:textId="77777777" w:rsidTr="00BB2A05">
        <w:tc>
          <w:tcPr>
            <w:tcW w:w="2245" w:type="dxa"/>
            <w:vMerge/>
          </w:tcPr>
          <w:p w14:paraId="2C10DAF1" w14:textId="77777777" w:rsidR="00397A74" w:rsidRPr="00397A74" w:rsidRDefault="00397A74" w:rsidP="00397A74">
            <w:pPr>
              <w:jc w:val="both"/>
              <w:rPr>
                <w:rFonts w:ascii="Calibri" w:eastAsia="Calibri" w:hAnsi="Calibri" w:cs="Times New Roman"/>
                <w:sz w:val="24"/>
                <w:szCs w:val="24"/>
              </w:rPr>
            </w:pPr>
          </w:p>
        </w:tc>
        <w:tc>
          <w:tcPr>
            <w:tcW w:w="3780" w:type="dxa"/>
            <w:vMerge/>
          </w:tcPr>
          <w:p w14:paraId="1DAC2618"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703E38B0" w14:textId="77777777" w:rsidR="00397A74" w:rsidRPr="00397A74" w:rsidRDefault="00397A74" w:rsidP="00397A74">
            <w:pPr>
              <w:jc w:val="both"/>
              <w:rPr>
                <w:rFonts w:ascii="Calibri" w:eastAsia="Calibri" w:hAnsi="Calibri" w:cs="Times New Roman"/>
                <w:b/>
                <w:bCs/>
                <w:sz w:val="24"/>
                <w:szCs w:val="24"/>
              </w:rPr>
            </w:pPr>
            <w:r w:rsidRPr="00397A74">
              <w:rPr>
                <w:rFonts w:ascii="Calibri" w:eastAsia="Calibri" w:hAnsi="Calibri" w:cs="Calibri"/>
                <w:sz w:val="24"/>
                <w:szCs w:val="24"/>
              </w:rPr>
              <w:t xml:space="preserve">Preparation of a regional transport scheme in Shkoder – </w:t>
            </w:r>
            <w:proofErr w:type="spellStart"/>
            <w:r w:rsidRPr="00397A74">
              <w:rPr>
                <w:rFonts w:ascii="Calibri" w:eastAsia="Calibri" w:hAnsi="Calibri" w:cs="Calibri"/>
                <w:sz w:val="24"/>
                <w:szCs w:val="24"/>
              </w:rPr>
              <w:t>Lezhe</w:t>
            </w:r>
            <w:proofErr w:type="spellEnd"/>
          </w:p>
        </w:tc>
      </w:tr>
      <w:tr w:rsidR="00397A74" w:rsidRPr="00397A74" w14:paraId="7FF39C6A" w14:textId="77777777" w:rsidTr="00BB2A05">
        <w:tc>
          <w:tcPr>
            <w:tcW w:w="2245" w:type="dxa"/>
            <w:vMerge/>
          </w:tcPr>
          <w:p w14:paraId="272E61B5" w14:textId="77777777" w:rsidR="00397A74" w:rsidRPr="00397A74" w:rsidRDefault="00397A74" w:rsidP="00397A74">
            <w:pPr>
              <w:jc w:val="both"/>
              <w:rPr>
                <w:rFonts w:ascii="Calibri" w:eastAsia="Calibri" w:hAnsi="Calibri" w:cs="Times New Roman"/>
                <w:sz w:val="24"/>
                <w:szCs w:val="24"/>
              </w:rPr>
            </w:pPr>
          </w:p>
        </w:tc>
        <w:tc>
          <w:tcPr>
            <w:tcW w:w="3780" w:type="dxa"/>
            <w:vMerge/>
          </w:tcPr>
          <w:p w14:paraId="396730F9"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46CEA097" w14:textId="77777777" w:rsidR="00397A74" w:rsidRPr="00397A74" w:rsidRDefault="00397A74" w:rsidP="00397A74">
            <w:pPr>
              <w:jc w:val="both"/>
              <w:rPr>
                <w:rFonts w:ascii="Calibri" w:eastAsia="Calibri" w:hAnsi="Calibri" w:cs="Times New Roman"/>
                <w:b/>
                <w:bCs/>
                <w:sz w:val="24"/>
                <w:szCs w:val="24"/>
              </w:rPr>
            </w:pPr>
            <w:r w:rsidRPr="00397A74">
              <w:rPr>
                <w:rFonts w:ascii="Calibri" w:eastAsia="Calibri" w:hAnsi="Calibri" w:cs="Calibri"/>
                <w:sz w:val="24"/>
                <w:szCs w:val="24"/>
              </w:rPr>
              <w:t xml:space="preserve">Collection scheme in touristic and mountain areas. </w:t>
            </w:r>
          </w:p>
        </w:tc>
      </w:tr>
      <w:tr w:rsidR="00397A74" w:rsidRPr="00397A74" w14:paraId="7F6CFB64" w14:textId="77777777" w:rsidTr="00BB2A05">
        <w:tc>
          <w:tcPr>
            <w:tcW w:w="2245" w:type="dxa"/>
            <w:vMerge w:val="restart"/>
          </w:tcPr>
          <w:p w14:paraId="3FC48D5D"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Times New Roman"/>
                <w:sz w:val="24"/>
                <w:szCs w:val="24"/>
              </w:rPr>
              <w:t>Differentiated waste collection schemes and minimal standards</w:t>
            </w:r>
          </w:p>
        </w:tc>
        <w:tc>
          <w:tcPr>
            <w:tcW w:w="3780" w:type="dxa"/>
            <w:vMerge w:val="restart"/>
          </w:tcPr>
          <w:p w14:paraId="726FF030"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4B5E659C"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Guideline for collection and differentiated classification of the recycled municipal waste </w:t>
            </w:r>
          </w:p>
        </w:tc>
      </w:tr>
      <w:tr w:rsidR="00397A74" w:rsidRPr="00397A74" w14:paraId="4EA177A8" w14:textId="77777777" w:rsidTr="00BB2A05">
        <w:tc>
          <w:tcPr>
            <w:tcW w:w="2245" w:type="dxa"/>
            <w:vMerge/>
          </w:tcPr>
          <w:p w14:paraId="12F536D9" w14:textId="77777777" w:rsidR="00397A74" w:rsidRPr="00397A74" w:rsidRDefault="00397A74" w:rsidP="00397A74">
            <w:pPr>
              <w:jc w:val="both"/>
              <w:rPr>
                <w:rFonts w:ascii="Calibri" w:eastAsia="Calibri" w:hAnsi="Calibri" w:cs="Times New Roman"/>
                <w:sz w:val="24"/>
                <w:szCs w:val="24"/>
              </w:rPr>
            </w:pPr>
          </w:p>
        </w:tc>
        <w:tc>
          <w:tcPr>
            <w:tcW w:w="3780" w:type="dxa"/>
            <w:vMerge/>
          </w:tcPr>
          <w:p w14:paraId="6445DEB3"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677D57E2"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Guideline for recycling and composting </w:t>
            </w:r>
          </w:p>
        </w:tc>
      </w:tr>
      <w:tr w:rsidR="00397A74" w:rsidRPr="00397A74" w14:paraId="58E43742" w14:textId="77777777" w:rsidTr="00BB2A05">
        <w:tc>
          <w:tcPr>
            <w:tcW w:w="2245" w:type="dxa"/>
            <w:vMerge w:val="restart"/>
          </w:tcPr>
          <w:p w14:paraId="237839DB"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Times New Roman"/>
                <w:sz w:val="24"/>
                <w:szCs w:val="24"/>
              </w:rPr>
              <w:t>Treatment and closure of the historical municipal disposal sites</w:t>
            </w:r>
          </w:p>
        </w:tc>
        <w:tc>
          <w:tcPr>
            <w:tcW w:w="3780" w:type="dxa"/>
            <w:vMerge w:val="restart"/>
            <w:vAlign w:val="center"/>
          </w:tcPr>
          <w:p w14:paraId="56504785"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Transformation of the illegal dumpsites in controlled dumpsites – rehabilitation, improvement, operational management and maintenance;</w:t>
            </w:r>
          </w:p>
        </w:tc>
        <w:tc>
          <w:tcPr>
            <w:tcW w:w="3325" w:type="dxa"/>
            <w:vAlign w:val="center"/>
          </w:tcPr>
          <w:p w14:paraId="60D4A5A9"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Operation Manual for landfill with temporary operation permission </w:t>
            </w:r>
          </w:p>
        </w:tc>
      </w:tr>
      <w:tr w:rsidR="00397A74" w:rsidRPr="00397A74" w14:paraId="26141EEE" w14:textId="77777777" w:rsidTr="00BB2A05">
        <w:tc>
          <w:tcPr>
            <w:tcW w:w="2245" w:type="dxa"/>
            <w:vMerge/>
          </w:tcPr>
          <w:p w14:paraId="4628CA46" w14:textId="77777777" w:rsidR="00397A74" w:rsidRPr="00397A74" w:rsidRDefault="00397A74" w:rsidP="00397A74">
            <w:pPr>
              <w:jc w:val="both"/>
              <w:rPr>
                <w:rFonts w:ascii="Calibri" w:eastAsia="Calibri" w:hAnsi="Calibri" w:cs="Times New Roman"/>
                <w:sz w:val="24"/>
                <w:szCs w:val="24"/>
              </w:rPr>
            </w:pPr>
          </w:p>
        </w:tc>
        <w:tc>
          <w:tcPr>
            <w:tcW w:w="3780" w:type="dxa"/>
            <w:vMerge/>
            <w:vAlign w:val="center"/>
          </w:tcPr>
          <w:p w14:paraId="25E4BD77"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5345567F"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Minimal requirements for rehabilitation of dump sites </w:t>
            </w:r>
          </w:p>
        </w:tc>
      </w:tr>
    </w:tbl>
    <w:p w14:paraId="6CF34D4D" w14:textId="77777777" w:rsidR="00397A74" w:rsidRPr="00397A74" w:rsidRDefault="00397A74" w:rsidP="00397A74">
      <w:pPr>
        <w:jc w:val="both"/>
        <w:rPr>
          <w:rFonts w:ascii="Calibri" w:eastAsia="Calibri" w:hAnsi="Calibri" w:cs="Times New Roman"/>
          <w:sz w:val="24"/>
          <w:szCs w:val="24"/>
        </w:rPr>
      </w:pPr>
    </w:p>
    <w:p w14:paraId="4CE96FB1"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Times New Roman"/>
          <w:sz w:val="24"/>
          <w:szCs w:val="24"/>
          <w:highlight w:val="yellow"/>
        </w:rPr>
        <w:t xml:space="preserve">From the table overview, it is recommended that for module 2 – Integrated </w:t>
      </w:r>
      <w:r w:rsidRPr="00397A74">
        <w:rPr>
          <w:rFonts w:ascii="Calibri" w:eastAsia="Calibri" w:hAnsi="Calibri" w:cs="Calibri"/>
          <w:sz w:val="24"/>
          <w:szCs w:val="24"/>
          <w:highlight w:val="yellow"/>
        </w:rPr>
        <w:t>Waste Management can be used as</w:t>
      </w:r>
      <w:r w:rsidRPr="00397A74">
        <w:rPr>
          <w:rFonts w:ascii="Calibri" w:eastAsia="Calibri" w:hAnsi="Calibri" w:cs="Calibri"/>
          <w:b/>
          <w:bCs/>
          <w:sz w:val="24"/>
          <w:szCs w:val="24"/>
          <w:highlight w:val="yellow"/>
        </w:rPr>
        <w:t xml:space="preserve"> </w:t>
      </w:r>
      <w:r w:rsidRPr="00397A74">
        <w:rPr>
          <w:rFonts w:ascii="Calibri" w:eastAsia="Calibri" w:hAnsi="Calibri" w:cs="Times New Roman"/>
          <w:sz w:val="24"/>
          <w:szCs w:val="24"/>
          <w:highlight w:val="yellow"/>
        </w:rPr>
        <w:t xml:space="preserve">basic material to be further upgraded the training curricula prepared by </w:t>
      </w:r>
      <w:proofErr w:type="spellStart"/>
      <w:r w:rsidRPr="00397A74">
        <w:rPr>
          <w:rFonts w:ascii="Calibri" w:eastAsia="Calibri" w:hAnsi="Calibri" w:cs="Times New Roman"/>
          <w:sz w:val="24"/>
          <w:szCs w:val="24"/>
          <w:highlight w:val="yellow"/>
        </w:rPr>
        <w:t>dldp</w:t>
      </w:r>
      <w:proofErr w:type="spellEnd"/>
      <w:r w:rsidRPr="00397A74">
        <w:rPr>
          <w:rFonts w:ascii="Calibri" w:eastAsia="Calibri" w:hAnsi="Calibri" w:cs="Times New Roman"/>
          <w:sz w:val="24"/>
          <w:szCs w:val="24"/>
          <w:highlight w:val="yellow"/>
        </w:rPr>
        <w:t xml:space="preserve"> and SECO project on “</w:t>
      </w:r>
      <w:r w:rsidRPr="00397A74">
        <w:rPr>
          <w:rFonts w:ascii="Calibri" w:eastAsia="Calibri" w:hAnsi="Calibri" w:cs="Times New Roman"/>
          <w:i/>
          <w:iCs/>
          <w:sz w:val="24"/>
          <w:szCs w:val="24"/>
          <w:highlight w:val="yellow"/>
        </w:rPr>
        <w:t>Integrated collection and treatment of the waste according to EU standards</w:t>
      </w:r>
      <w:r w:rsidRPr="00397A74">
        <w:rPr>
          <w:rFonts w:ascii="Calibri" w:eastAsia="Calibri" w:hAnsi="Calibri" w:cs="Calibri"/>
          <w:i/>
          <w:iCs/>
          <w:sz w:val="24"/>
          <w:szCs w:val="24"/>
          <w:highlight w:val="yellow"/>
        </w:rPr>
        <w:t>”</w:t>
      </w:r>
      <w:r w:rsidRPr="00397A74">
        <w:rPr>
          <w:rFonts w:ascii="Calibri" w:eastAsia="Calibri" w:hAnsi="Calibri" w:cs="Times New Roman"/>
          <w:sz w:val="24"/>
          <w:szCs w:val="24"/>
          <w:highlight w:val="yellow"/>
        </w:rPr>
        <w:t xml:space="preserve"> and </w:t>
      </w:r>
      <w:r w:rsidRPr="00397A74">
        <w:rPr>
          <w:rFonts w:ascii="Calibri" w:eastAsia="Calibri" w:hAnsi="Calibri" w:cs="Times New Roman"/>
          <w:i/>
          <w:iCs/>
          <w:sz w:val="24"/>
          <w:szCs w:val="24"/>
          <w:highlight w:val="yellow"/>
        </w:rPr>
        <w:t>“Treatment and closure of the historical municipal disposal sites</w:t>
      </w:r>
      <w:r w:rsidRPr="00397A74">
        <w:rPr>
          <w:rFonts w:ascii="Calibri" w:eastAsia="Calibri" w:hAnsi="Calibri" w:cs="Calibri"/>
          <w:i/>
          <w:iCs/>
          <w:sz w:val="24"/>
          <w:szCs w:val="24"/>
          <w:highlight w:val="yellow"/>
        </w:rPr>
        <w:t>”</w:t>
      </w:r>
      <w:r w:rsidRPr="00397A74">
        <w:rPr>
          <w:rFonts w:ascii="Calibri" w:eastAsia="Calibri" w:hAnsi="Calibri" w:cs="Times New Roman"/>
          <w:sz w:val="24"/>
          <w:szCs w:val="24"/>
          <w:highlight w:val="yellow"/>
        </w:rPr>
        <w:t xml:space="preserve">. The other topic </w:t>
      </w:r>
      <w:r w:rsidRPr="00397A74">
        <w:rPr>
          <w:rFonts w:ascii="Calibri" w:eastAsia="Calibri" w:hAnsi="Calibri" w:cs="Times New Roman"/>
          <w:i/>
          <w:iCs/>
          <w:sz w:val="24"/>
          <w:szCs w:val="24"/>
          <w:highlight w:val="yellow"/>
        </w:rPr>
        <w:t>“Differentiated waste collection schemes and minimum standards”</w:t>
      </w:r>
      <w:r w:rsidRPr="00397A74">
        <w:rPr>
          <w:rFonts w:ascii="Calibri" w:eastAsia="Calibri" w:hAnsi="Calibri" w:cs="Times New Roman"/>
          <w:sz w:val="24"/>
          <w:szCs w:val="24"/>
          <w:highlight w:val="yellow"/>
        </w:rPr>
        <w:t xml:space="preserve"> doesn’t have any training structure at all and </w:t>
      </w:r>
      <w:proofErr w:type="gramStart"/>
      <w:r w:rsidRPr="00397A74">
        <w:rPr>
          <w:rFonts w:ascii="Calibri" w:eastAsia="Calibri" w:hAnsi="Calibri" w:cs="Times New Roman"/>
          <w:sz w:val="24"/>
          <w:szCs w:val="24"/>
          <w:highlight w:val="yellow"/>
        </w:rPr>
        <w:t>has to</w:t>
      </w:r>
      <w:proofErr w:type="gramEnd"/>
      <w:r w:rsidRPr="00397A74">
        <w:rPr>
          <w:rFonts w:ascii="Calibri" w:eastAsia="Calibri" w:hAnsi="Calibri" w:cs="Times New Roman"/>
          <w:sz w:val="24"/>
          <w:szCs w:val="24"/>
          <w:highlight w:val="yellow"/>
        </w:rPr>
        <w:t xml:space="preserve"> be developed from scratch by making use of the given resource material package. Overall, the theoretical part should be updated with legislative developments and other approved documents.</w:t>
      </w:r>
      <w:r w:rsidRPr="00397A74">
        <w:rPr>
          <w:rFonts w:ascii="Calibri" w:eastAsia="Calibri" w:hAnsi="Calibri" w:cs="Times New Roman"/>
          <w:sz w:val="24"/>
          <w:szCs w:val="24"/>
        </w:rPr>
        <w:t xml:space="preserve"> </w:t>
      </w:r>
    </w:p>
    <w:p w14:paraId="326EC8B8" w14:textId="77777777" w:rsidR="00397A74" w:rsidRPr="00397A74" w:rsidRDefault="00397A74" w:rsidP="00397A74">
      <w:pPr>
        <w:jc w:val="both"/>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2245"/>
        <w:gridCol w:w="3780"/>
        <w:gridCol w:w="3325"/>
      </w:tblGrid>
      <w:tr w:rsidR="00397A74" w:rsidRPr="00397A74" w14:paraId="223A555D" w14:textId="77777777" w:rsidTr="00BB2A05">
        <w:tc>
          <w:tcPr>
            <w:tcW w:w="2245" w:type="dxa"/>
          </w:tcPr>
          <w:p w14:paraId="5F171881"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Times New Roman"/>
                <w:b/>
                <w:bCs/>
                <w:sz w:val="24"/>
                <w:szCs w:val="24"/>
              </w:rPr>
              <w:t>Modul 3: CIRCULAR ECONOMY</w:t>
            </w:r>
          </w:p>
        </w:tc>
        <w:tc>
          <w:tcPr>
            <w:tcW w:w="3780" w:type="dxa"/>
          </w:tcPr>
          <w:p w14:paraId="1413E8A7" w14:textId="77777777" w:rsidR="00397A74" w:rsidRPr="00397A74" w:rsidRDefault="00397A74" w:rsidP="00397A74">
            <w:pPr>
              <w:jc w:val="center"/>
              <w:rPr>
                <w:rFonts w:ascii="Calibri" w:eastAsia="Calibri" w:hAnsi="Calibri" w:cs="Times New Roman"/>
                <w:sz w:val="24"/>
                <w:szCs w:val="24"/>
              </w:rPr>
            </w:pPr>
            <w:r w:rsidRPr="00397A74">
              <w:rPr>
                <w:rFonts w:ascii="Calibri" w:eastAsia="Calibri" w:hAnsi="Calibri" w:cs="Calibri"/>
                <w:sz w:val="24"/>
                <w:szCs w:val="24"/>
              </w:rPr>
              <w:t>Basic module</w:t>
            </w:r>
          </w:p>
        </w:tc>
        <w:tc>
          <w:tcPr>
            <w:tcW w:w="3325" w:type="dxa"/>
          </w:tcPr>
          <w:p w14:paraId="5AD115B3" w14:textId="77777777" w:rsidR="00397A74" w:rsidRPr="00397A74" w:rsidRDefault="00397A74" w:rsidP="00397A74">
            <w:pPr>
              <w:jc w:val="center"/>
              <w:rPr>
                <w:rFonts w:ascii="Calibri" w:eastAsia="Calibri" w:hAnsi="Calibri" w:cs="Times New Roman"/>
                <w:sz w:val="24"/>
                <w:szCs w:val="24"/>
              </w:rPr>
            </w:pPr>
            <w:r w:rsidRPr="00397A74">
              <w:rPr>
                <w:rFonts w:ascii="Calibri" w:eastAsia="Calibri" w:hAnsi="Calibri" w:cs="Calibri"/>
                <w:sz w:val="24"/>
                <w:szCs w:val="24"/>
              </w:rPr>
              <w:t>Resource materials</w:t>
            </w:r>
          </w:p>
        </w:tc>
      </w:tr>
      <w:tr w:rsidR="00397A74" w:rsidRPr="00397A74" w14:paraId="18D653D8" w14:textId="77777777" w:rsidTr="00BB2A05">
        <w:tc>
          <w:tcPr>
            <w:tcW w:w="2245" w:type="dxa"/>
            <w:vAlign w:val="center"/>
          </w:tcPr>
          <w:p w14:paraId="32E98264"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color w:val="000000"/>
                <w:sz w:val="24"/>
                <w:szCs w:val="24"/>
              </w:rPr>
              <w:t xml:space="preserve">Waste management and transition towards circular economy </w:t>
            </w:r>
          </w:p>
        </w:tc>
        <w:tc>
          <w:tcPr>
            <w:tcW w:w="3780" w:type="dxa"/>
            <w:vAlign w:val="bottom"/>
          </w:tcPr>
          <w:p w14:paraId="433BF33F"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Minimization of solid urban waste </w:t>
            </w:r>
          </w:p>
        </w:tc>
        <w:tc>
          <w:tcPr>
            <w:tcW w:w="3325" w:type="dxa"/>
          </w:tcPr>
          <w:p w14:paraId="6DEF8536" w14:textId="77777777" w:rsidR="00397A74" w:rsidRPr="00397A74" w:rsidRDefault="00397A74" w:rsidP="00397A74">
            <w:pPr>
              <w:jc w:val="both"/>
              <w:rPr>
                <w:rFonts w:ascii="Calibri" w:eastAsia="Calibri" w:hAnsi="Calibri" w:cs="Times New Roman"/>
                <w:sz w:val="24"/>
                <w:szCs w:val="24"/>
              </w:rPr>
            </w:pPr>
          </w:p>
        </w:tc>
      </w:tr>
      <w:tr w:rsidR="00397A74" w:rsidRPr="00397A74" w14:paraId="2232E0C5" w14:textId="77777777" w:rsidTr="00BB2A05">
        <w:tc>
          <w:tcPr>
            <w:tcW w:w="2245" w:type="dxa"/>
            <w:vAlign w:val="center"/>
          </w:tcPr>
          <w:p w14:paraId="715B363F"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color w:val="000000"/>
                <w:sz w:val="24"/>
                <w:szCs w:val="24"/>
              </w:rPr>
              <w:t xml:space="preserve">Legal framework, concepts, principles and innovation. </w:t>
            </w:r>
          </w:p>
        </w:tc>
        <w:tc>
          <w:tcPr>
            <w:tcW w:w="3780" w:type="dxa"/>
            <w:vAlign w:val="bottom"/>
          </w:tcPr>
          <w:p w14:paraId="533CF23E"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w:t>
            </w:r>
          </w:p>
        </w:tc>
        <w:tc>
          <w:tcPr>
            <w:tcW w:w="3325" w:type="dxa"/>
          </w:tcPr>
          <w:p w14:paraId="642608F7" w14:textId="77777777" w:rsidR="00397A74" w:rsidRPr="00397A74" w:rsidRDefault="00397A74" w:rsidP="00397A74">
            <w:pPr>
              <w:jc w:val="both"/>
              <w:rPr>
                <w:rFonts w:ascii="Calibri" w:eastAsia="Calibri" w:hAnsi="Calibri" w:cs="Times New Roman"/>
                <w:sz w:val="24"/>
                <w:szCs w:val="24"/>
              </w:rPr>
            </w:pPr>
          </w:p>
        </w:tc>
      </w:tr>
      <w:tr w:rsidR="00397A74" w:rsidRPr="00397A74" w14:paraId="0A96BBD8" w14:textId="77777777" w:rsidTr="00BB2A05">
        <w:tc>
          <w:tcPr>
            <w:tcW w:w="2245" w:type="dxa"/>
            <w:vAlign w:val="center"/>
          </w:tcPr>
          <w:p w14:paraId="14E5B4C5"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color w:val="000000"/>
                <w:sz w:val="24"/>
                <w:szCs w:val="24"/>
              </w:rPr>
              <w:t xml:space="preserve">Policies, finances and synergies. </w:t>
            </w:r>
          </w:p>
        </w:tc>
        <w:tc>
          <w:tcPr>
            <w:tcW w:w="3780" w:type="dxa"/>
            <w:vAlign w:val="center"/>
          </w:tcPr>
          <w:p w14:paraId="4B549CD1"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0810E10F"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Green Public Procurement</w:t>
            </w:r>
          </w:p>
        </w:tc>
      </w:tr>
    </w:tbl>
    <w:p w14:paraId="53B0F435" w14:textId="77777777" w:rsidR="00397A74" w:rsidRPr="00397A74" w:rsidRDefault="00397A74" w:rsidP="00397A74">
      <w:pPr>
        <w:spacing w:after="0"/>
        <w:jc w:val="both"/>
        <w:rPr>
          <w:rFonts w:ascii="Calibri" w:eastAsia="Calibri" w:hAnsi="Calibri" w:cs="Times New Roman"/>
          <w:sz w:val="24"/>
          <w:szCs w:val="24"/>
        </w:rPr>
      </w:pPr>
    </w:p>
    <w:p w14:paraId="46956B92"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Times New Roman"/>
          <w:sz w:val="24"/>
          <w:szCs w:val="24"/>
          <w:highlight w:val="yellow"/>
        </w:rPr>
        <w:t xml:space="preserve">From the table overview, it is recommended that for Module 3 - Circular Economy the training curricula developed by </w:t>
      </w:r>
      <w:proofErr w:type="spellStart"/>
      <w:r w:rsidRPr="00397A74">
        <w:rPr>
          <w:rFonts w:ascii="Calibri" w:eastAsia="Calibri" w:hAnsi="Calibri" w:cs="Times New Roman"/>
          <w:sz w:val="24"/>
          <w:szCs w:val="24"/>
          <w:highlight w:val="yellow"/>
        </w:rPr>
        <w:t>dldp</w:t>
      </w:r>
      <w:proofErr w:type="spellEnd"/>
      <w:r w:rsidRPr="00397A74">
        <w:rPr>
          <w:rFonts w:ascii="Calibri" w:eastAsia="Calibri" w:hAnsi="Calibri" w:cs="Times New Roman"/>
          <w:sz w:val="24"/>
          <w:szCs w:val="24"/>
          <w:highlight w:val="yellow"/>
        </w:rPr>
        <w:t>, which partly cover "Waste Management and Transition to a Circular Economy", can be used as basic material for further development. The other topics don't have any training structure at all and need to be developed from scratch. The concept of circular economy is complex and not yet covered.</w:t>
      </w:r>
    </w:p>
    <w:p w14:paraId="6D4CA377" w14:textId="77777777" w:rsidR="00397A74" w:rsidRPr="00397A74" w:rsidRDefault="00397A74" w:rsidP="00397A74">
      <w:pPr>
        <w:jc w:val="both"/>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2245"/>
        <w:gridCol w:w="3780"/>
        <w:gridCol w:w="3325"/>
      </w:tblGrid>
      <w:tr w:rsidR="00397A74" w:rsidRPr="00397A74" w14:paraId="1F5FF968" w14:textId="77777777" w:rsidTr="00BB2A05">
        <w:tc>
          <w:tcPr>
            <w:tcW w:w="2245" w:type="dxa"/>
          </w:tcPr>
          <w:p w14:paraId="30280DDC" w14:textId="77777777" w:rsidR="00397A74" w:rsidRPr="00397A74" w:rsidRDefault="00397A74" w:rsidP="00397A74">
            <w:pPr>
              <w:rPr>
                <w:rFonts w:ascii="Calibri" w:eastAsia="Calibri" w:hAnsi="Calibri" w:cs="Times New Roman"/>
                <w:sz w:val="24"/>
                <w:szCs w:val="24"/>
              </w:rPr>
            </w:pPr>
            <w:r w:rsidRPr="00397A74">
              <w:rPr>
                <w:rFonts w:ascii="Calibri" w:eastAsia="Calibri" w:hAnsi="Calibri" w:cs="Times New Roman"/>
                <w:b/>
                <w:bCs/>
                <w:sz w:val="24"/>
                <w:szCs w:val="24"/>
              </w:rPr>
              <w:t>Modul 4:  FINANCIAL SUSTAINIBILITY OF THE WASTE MANAGEMENT</w:t>
            </w:r>
          </w:p>
        </w:tc>
        <w:tc>
          <w:tcPr>
            <w:tcW w:w="3780" w:type="dxa"/>
          </w:tcPr>
          <w:p w14:paraId="0BA86DB1" w14:textId="77777777" w:rsidR="00397A74" w:rsidRPr="00397A74" w:rsidRDefault="00397A74" w:rsidP="00397A74">
            <w:pPr>
              <w:jc w:val="center"/>
              <w:rPr>
                <w:rFonts w:ascii="Calibri" w:eastAsia="Calibri" w:hAnsi="Calibri" w:cs="Times New Roman"/>
                <w:sz w:val="24"/>
                <w:szCs w:val="24"/>
              </w:rPr>
            </w:pPr>
            <w:r w:rsidRPr="00397A74">
              <w:rPr>
                <w:rFonts w:ascii="Calibri" w:eastAsia="Calibri" w:hAnsi="Calibri" w:cs="Calibri"/>
                <w:sz w:val="24"/>
                <w:szCs w:val="24"/>
              </w:rPr>
              <w:t>Basic module</w:t>
            </w:r>
          </w:p>
        </w:tc>
        <w:tc>
          <w:tcPr>
            <w:tcW w:w="3325" w:type="dxa"/>
          </w:tcPr>
          <w:p w14:paraId="5784DEB0" w14:textId="77777777" w:rsidR="00397A74" w:rsidRPr="00397A74" w:rsidRDefault="00397A74" w:rsidP="00397A74">
            <w:pPr>
              <w:jc w:val="center"/>
              <w:rPr>
                <w:rFonts w:ascii="Calibri" w:eastAsia="Calibri" w:hAnsi="Calibri" w:cs="Times New Roman"/>
                <w:sz w:val="24"/>
                <w:szCs w:val="24"/>
              </w:rPr>
            </w:pPr>
            <w:r w:rsidRPr="00397A74">
              <w:rPr>
                <w:rFonts w:ascii="Calibri" w:eastAsia="Calibri" w:hAnsi="Calibri" w:cs="Calibri"/>
                <w:sz w:val="24"/>
                <w:szCs w:val="24"/>
              </w:rPr>
              <w:t>Resource materials</w:t>
            </w:r>
          </w:p>
        </w:tc>
      </w:tr>
      <w:tr w:rsidR="00397A74" w:rsidRPr="00397A74" w14:paraId="2FE2C983" w14:textId="77777777" w:rsidTr="00BB2A05">
        <w:tc>
          <w:tcPr>
            <w:tcW w:w="2245" w:type="dxa"/>
            <w:vMerge w:val="restart"/>
          </w:tcPr>
          <w:p w14:paraId="3FEFBABC"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Times New Roman"/>
                <w:sz w:val="24"/>
                <w:szCs w:val="24"/>
              </w:rPr>
              <w:t>Finances (service cost calculation) and tariff setting</w:t>
            </w:r>
          </w:p>
        </w:tc>
        <w:tc>
          <w:tcPr>
            <w:tcW w:w="3780" w:type="dxa"/>
            <w:vAlign w:val="bottom"/>
          </w:tcPr>
          <w:p w14:paraId="6ADBA1B9"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Financial aspects of the waste management </w:t>
            </w:r>
          </w:p>
        </w:tc>
        <w:tc>
          <w:tcPr>
            <w:tcW w:w="3325" w:type="dxa"/>
          </w:tcPr>
          <w:p w14:paraId="06D837D6" w14:textId="77777777" w:rsidR="00397A74" w:rsidRPr="00397A74" w:rsidRDefault="00397A74" w:rsidP="00397A74">
            <w:pPr>
              <w:jc w:val="both"/>
              <w:rPr>
                <w:rFonts w:ascii="Calibri" w:eastAsia="Calibri" w:hAnsi="Calibri" w:cs="Times New Roman"/>
                <w:sz w:val="24"/>
                <w:szCs w:val="24"/>
              </w:rPr>
            </w:pPr>
          </w:p>
        </w:tc>
      </w:tr>
      <w:tr w:rsidR="00397A74" w:rsidRPr="00397A74" w14:paraId="0CB2162D" w14:textId="77777777" w:rsidTr="00BB2A05">
        <w:tc>
          <w:tcPr>
            <w:tcW w:w="2245" w:type="dxa"/>
            <w:vMerge/>
          </w:tcPr>
          <w:p w14:paraId="2A5965FB" w14:textId="77777777" w:rsidR="00397A74" w:rsidRPr="00397A74" w:rsidRDefault="00397A74" w:rsidP="00397A74">
            <w:pPr>
              <w:jc w:val="both"/>
              <w:rPr>
                <w:rFonts w:ascii="Calibri" w:eastAsia="Calibri" w:hAnsi="Calibri" w:cs="Times New Roman"/>
                <w:sz w:val="24"/>
                <w:szCs w:val="24"/>
              </w:rPr>
            </w:pPr>
          </w:p>
        </w:tc>
        <w:tc>
          <w:tcPr>
            <w:tcW w:w="3780" w:type="dxa"/>
            <w:vAlign w:val="bottom"/>
          </w:tcPr>
          <w:p w14:paraId="42AA1B49" w14:textId="77777777" w:rsidR="00397A74" w:rsidRPr="00397A74" w:rsidRDefault="00397A74" w:rsidP="00397A74">
            <w:pPr>
              <w:jc w:val="both"/>
              <w:rPr>
                <w:rFonts w:ascii="Calibri" w:eastAsia="Calibri" w:hAnsi="Calibri" w:cs="Times New Roman"/>
                <w:sz w:val="24"/>
                <w:szCs w:val="24"/>
              </w:rPr>
            </w:pPr>
          </w:p>
        </w:tc>
        <w:tc>
          <w:tcPr>
            <w:tcW w:w="3325" w:type="dxa"/>
            <w:vAlign w:val="bottom"/>
          </w:tcPr>
          <w:p w14:paraId="12E595D7"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Financial sustainability of the service-Budget, Tariffs etc. </w:t>
            </w:r>
          </w:p>
        </w:tc>
      </w:tr>
      <w:tr w:rsidR="00397A74" w:rsidRPr="00397A74" w14:paraId="464C3693" w14:textId="77777777" w:rsidTr="00BB2A05">
        <w:tc>
          <w:tcPr>
            <w:tcW w:w="2245" w:type="dxa"/>
            <w:vMerge/>
          </w:tcPr>
          <w:p w14:paraId="27097140" w14:textId="77777777" w:rsidR="00397A74" w:rsidRPr="00397A74" w:rsidRDefault="00397A74" w:rsidP="00397A74">
            <w:pPr>
              <w:jc w:val="both"/>
              <w:rPr>
                <w:rFonts w:ascii="Calibri" w:eastAsia="Calibri" w:hAnsi="Calibri" w:cs="Times New Roman"/>
                <w:sz w:val="24"/>
                <w:szCs w:val="24"/>
              </w:rPr>
            </w:pPr>
          </w:p>
        </w:tc>
        <w:tc>
          <w:tcPr>
            <w:tcW w:w="3780" w:type="dxa"/>
            <w:vAlign w:val="center"/>
          </w:tcPr>
          <w:p w14:paraId="304A60DE"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3072FC77"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Methodology for cost calculation and tariff setting </w:t>
            </w:r>
          </w:p>
        </w:tc>
      </w:tr>
      <w:tr w:rsidR="00397A74" w:rsidRPr="00397A74" w14:paraId="3DE52C20" w14:textId="77777777" w:rsidTr="00BB2A05">
        <w:tc>
          <w:tcPr>
            <w:tcW w:w="2245" w:type="dxa"/>
            <w:vMerge/>
          </w:tcPr>
          <w:p w14:paraId="74D67AF8" w14:textId="77777777" w:rsidR="00397A74" w:rsidRPr="00397A74" w:rsidRDefault="00397A74" w:rsidP="00397A74">
            <w:pPr>
              <w:jc w:val="both"/>
              <w:rPr>
                <w:rFonts w:ascii="Calibri" w:eastAsia="Calibri" w:hAnsi="Calibri" w:cs="Times New Roman"/>
                <w:sz w:val="24"/>
                <w:szCs w:val="24"/>
              </w:rPr>
            </w:pPr>
          </w:p>
        </w:tc>
        <w:tc>
          <w:tcPr>
            <w:tcW w:w="3780" w:type="dxa"/>
            <w:vAlign w:val="center"/>
          </w:tcPr>
          <w:p w14:paraId="63386691"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05C3A6DD"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Methodology for calculation of waste costs including transfer station </w:t>
            </w:r>
          </w:p>
        </w:tc>
      </w:tr>
      <w:tr w:rsidR="00397A74" w:rsidRPr="00397A74" w14:paraId="3FB581C8" w14:textId="77777777" w:rsidTr="00BB2A05">
        <w:tc>
          <w:tcPr>
            <w:tcW w:w="2245" w:type="dxa"/>
            <w:vMerge/>
          </w:tcPr>
          <w:p w14:paraId="1BDA982D" w14:textId="77777777" w:rsidR="00397A74" w:rsidRPr="00397A74" w:rsidRDefault="00397A74" w:rsidP="00397A74">
            <w:pPr>
              <w:jc w:val="both"/>
              <w:rPr>
                <w:rFonts w:ascii="Calibri" w:eastAsia="Calibri" w:hAnsi="Calibri" w:cs="Times New Roman"/>
                <w:sz w:val="24"/>
                <w:szCs w:val="24"/>
              </w:rPr>
            </w:pPr>
          </w:p>
        </w:tc>
        <w:tc>
          <w:tcPr>
            <w:tcW w:w="3780" w:type="dxa"/>
            <w:vAlign w:val="center"/>
          </w:tcPr>
          <w:p w14:paraId="2C0CB3F1"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7E5FE3DD"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Preparation of the tender and contract documentation </w:t>
            </w:r>
          </w:p>
        </w:tc>
      </w:tr>
      <w:tr w:rsidR="00397A74" w:rsidRPr="00397A74" w14:paraId="099B62B5" w14:textId="77777777" w:rsidTr="00BB2A05">
        <w:tc>
          <w:tcPr>
            <w:tcW w:w="2245" w:type="dxa"/>
            <w:vMerge w:val="restart"/>
          </w:tcPr>
          <w:p w14:paraId="3140B019"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Times New Roman"/>
                <w:sz w:val="24"/>
                <w:szCs w:val="24"/>
              </w:rPr>
              <w:t>Planning and implementation of the capital services in the sector</w:t>
            </w:r>
          </w:p>
        </w:tc>
        <w:tc>
          <w:tcPr>
            <w:tcW w:w="3780" w:type="dxa"/>
          </w:tcPr>
          <w:p w14:paraId="19B06BC7"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202369B7"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Methodology for calculation of the treatment waste costs in Bushati regional landfill </w:t>
            </w:r>
          </w:p>
        </w:tc>
      </w:tr>
      <w:tr w:rsidR="00397A74" w:rsidRPr="00397A74" w14:paraId="49642B35" w14:textId="77777777" w:rsidTr="00BB2A05">
        <w:tc>
          <w:tcPr>
            <w:tcW w:w="2245" w:type="dxa"/>
            <w:vMerge/>
          </w:tcPr>
          <w:p w14:paraId="29266956" w14:textId="77777777" w:rsidR="00397A74" w:rsidRPr="00397A74" w:rsidRDefault="00397A74" w:rsidP="00397A74">
            <w:pPr>
              <w:jc w:val="both"/>
              <w:rPr>
                <w:rFonts w:ascii="Calibri" w:eastAsia="Calibri" w:hAnsi="Calibri" w:cs="Times New Roman"/>
                <w:sz w:val="24"/>
                <w:szCs w:val="24"/>
              </w:rPr>
            </w:pPr>
          </w:p>
        </w:tc>
        <w:tc>
          <w:tcPr>
            <w:tcW w:w="3780" w:type="dxa"/>
          </w:tcPr>
          <w:p w14:paraId="41A3C8D5"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435C5CE2"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Technical report on the actual situation, operation and </w:t>
            </w:r>
            <w:r w:rsidRPr="00397A74">
              <w:rPr>
                <w:rFonts w:ascii="Calibri" w:eastAsia="Calibri" w:hAnsi="Calibri" w:cs="Calibri"/>
                <w:sz w:val="24"/>
                <w:szCs w:val="24"/>
              </w:rPr>
              <w:lastRenderedPageBreak/>
              <w:t xml:space="preserve">management of the landfill. Case of </w:t>
            </w:r>
            <w:proofErr w:type="spellStart"/>
            <w:r w:rsidRPr="00397A74">
              <w:rPr>
                <w:rFonts w:ascii="Calibri" w:eastAsia="Calibri" w:hAnsi="Calibri" w:cs="Calibri"/>
                <w:sz w:val="24"/>
                <w:szCs w:val="24"/>
              </w:rPr>
              <w:t>Bushat</w:t>
            </w:r>
            <w:proofErr w:type="spellEnd"/>
            <w:r w:rsidRPr="00397A74">
              <w:rPr>
                <w:rFonts w:ascii="Calibri" w:eastAsia="Calibri" w:hAnsi="Calibri" w:cs="Calibri"/>
                <w:sz w:val="24"/>
                <w:szCs w:val="24"/>
              </w:rPr>
              <w:t>.</w:t>
            </w:r>
          </w:p>
        </w:tc>
      </w:tr>
      <w:tr w:rsidR="00397A74" w:rsidRPr="00397A74" w14:paraId="671D383E" w14:textId="77777777" w:rsidTr="00BB2A05">
        <w:tc>
          <w:tcPr>
            <w:tcW w:w="2245" w:type="dxa"/>
            <w:vMerge w:val="restart"/>
          </w:tcPr>
          <w:p w14:paraId="22DA79AE"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Times New Roman"/>
                <w:sz w:val="24"/>
                <w:szCs w:val="24"/>
              </w:rPr>
              <w:lastRenderedPageBreak/>
              <w:t>Financial monitoring of the integrated waste management</w:t>
            </w:r>
          </w:p>
        </w:tc>
        <w:tc>
          <w:tcPr>
            <w:tcW w:w="3780" w:type="dxa"/>
            <w:vAlign w:val="center"/>
          </w:tcPr>
          <w:p w14:paraId="327AD17E"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2CC39AFA"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Process of taxpayer register improvement </w:t>
            </w:r>
          </w:p>
        </w:tc>
      </w:tr>
      <w:tr w:rsidR="00397A74" w:rsidRPr="00397A74" w14:paraId="7D54C960" w14:textId="77777777" w:rsidTr="00BB2A05">
        <w:tc>
          <w:tcPr>
            <w:tcW w:w="2245" w:type="dxa"/>
            <w:vMerge/>
          </w:tcPr>
          <w:p w14:paraId="6703910A" w14:textId="77777777" w:rsidR="00397A74" w:rsidRPr="00397A74" w:rsidRDefault="00397A74" w:rsidP="00397A74">
            <w:pPr>
              <w:jc w:val="both"/>
              <w:rPr>
                <w:rFonts w:ascii="Calibri" w:eastAsia="Calibri" w:hAnsi="Calibri" w:cs="Times New Roman"/>
                <w:sz w:val="24"/>
                <w:szCs w:val="24"/>
              </w:rPr>
            </w:pPr>
          </w:p>
        </w:tc>
        <w:tc>
          <w:tcPr>
            <w:tcW w:w="3780" w:type="dxa"/>
            <w:vAlign w:val="center"/>
          </w:tcPr>
          <w:p w14:paraId="0EE029C4"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48AF04B7"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Drafting Fiscal Package. Processes and models.</w:t>
            </w:r>
          </w:p>
        </w:tc>
      </w:tr>
      <w:tr w:rsidR="00397A74" w:rsidRPr="00397A74" w14:paraId="4F46ECDA" w14:textId="77777777" w:rsidTr="00BB2A05">
        <w:tc>
          <w:tcPr>
            <w:tcW w:w="2245" w:type="dxa"/>
            <w:vMerge/>
          </w:tcPr>
          <w:p w14:paraId="38BE7378" w14:textId="77777777" w:rsidR="00397A74" w:rsidRPr="00397A74" w:rsidRDefault="00397A74" w:rsidP="00397A74">
            <w:pPr>
              <w:jc w:val="both"/>
              <w:rPr>
                <w:rFonts w:ascii="Calibri" w:eastAsia="Calibri" w:hAnsi="Calibri" w:cs="Times New Roman"/>
                <w:sz w:val="24"/>
                <w:szCs w:val="24"/>
              </w:rPr>
            </w:pPr>
          </w:p>
        </w:tc>
        <w:tc>
          <w:tcPr>
            <w:tcW w:w="3780" w:type="dxa"/>
            <w:vAlign w:val="center"/>
          </w:tcPr>
          <w:p w14:paraId="7D60855A"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7AE8C7D3"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Reporting and analyze of the collection of waste revenues </w:t>
            </w:r>
          </w:p>
        </w:tc>
      </w:tr>
      <w:tr w:rsidR="00397A74" w:rsidRPr="00397A74" w14:paraId="1EA40E46" w14:textId="77777777" w:rsidTr="00BB2A05">
        <w:tc>
          <w:tcPr>
            <w:tcW w:w="2245" w:type="dxa"/>
            <w:vMerge/>
          </w:tcPr>
          <w:p w14:paraId="6EF94321" w14:textId="77777777" w:rsidR="00397A74" w:rsidRPr="00397A74" w:rsidRDefault="00397A74" w:rsidP="00397A74">
            <w:pPr>
              <w:jc w:val="both"/>
              <w:rPr>
                <w:rFonts w:ascii="Calibri" w:eastAsia="Calibri" w:hAnsi="Calibri" w:cs="Times New Roman"/>
                <w:sz w:val="24"/>
                <w:szCs w:val="24"/>
              </w:rPr>
            </w:pPr>
          </w:p>
        </w:tc>
        <w:tc>
          <w:tcPr>
            <w:tcW w:w="3780" w:type="dxa"/>
            <w:vAlign w:val="center"/>
          </w:tcPr>
          <w:p w14:paraId="6B914451"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3EF6D707"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Communication and revenue collection </w:t>
            </w:r>
          </w:p>
        </w:tc>
      </w:tr>
      <w:tr w:rsidR="00397A74" w:rsidRPr="00397A74" w14:paraId="2218912D" w14:textId="77777777" w:rsidTr="00BB2A05">
        <w:tc>
          <w:tcPr>
            <w:tcW w:w="2245" w:type="dxa"/>
            <w:vMerge/>
          </w:tcPr>
          <w:p w14:paraId="16C44808" w14:textId="77777777" w:rsidR="00397A74" w:rsidRPr="00397A74" w:rsidRDefault="00397A74" w:rsidP="00397A74">
            <w:pPr>
              <w:jc w:val="both"/>
              <w:rPr>
                <w:rFonts w:ascii="Calibri" w:eastAsia="Calibri" w:hAnsi="Calibri" w:cs="Times New Roman"/>
                <w:sz w:val="24"/>
                <w:szCs w:val="24"/>
              </w:rPr>
            </w:pPr>
          </w:p>
        </w:tc>
        <w:tc>
          <w:tcPr>
            <w:tcW w:w="3780" w:type="dxa"/>
            <w:vAlign w:val="center"/>
          </w:tcPr>
          <w:p w14:paraId="030C2204"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0381B565"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Monitoring and collection financial obligations – Summary </w:t>
            </w:r>
          </w:p>
        </w:tc>
      </w:tr>
      <w:tr w:rsidR="00397A74" w:rsidRPr="00397A74" w14:paraId="7DBA29C7" w14:textId="77777777" w:rsidTr="00BB2A05">
        <w:tc>
          <w:tcPr>
            <w:tcW w:w="2245" w:type="dxa"/>
          </w:tcPr>
          <w:p w14:paraId="23863FA2"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Times New Roman"/>
                <w:sz w:val="24"/>
                <w:szCs w:val="24"/>
              </w:rPr>
              <w:t>Sources of finance (for example EPR and other kind of sources from taxes for different kind of products)</w:t>
            </w:r>
          </w:p>
        </w:tc>
        <w:tc>
          <w:tcPr>
            <w:tcW w:w="3780" w:type="dxa"/>
          </w:tcPr>
          <w:p w14:paraId="704401B4" w14:textId="77777777" w:rsidR="00397A74" w:rsidRPr="00397A74" w:rsidRDefault="00397A74" w:rsidP="00397A74">
            <w:pPr>
              <w:jc w:val="both"/>
              <w:rPr>
                <w:rFonts w:ascii="Calibri" w:eastAsia="Calibri" w:hAnsi="Calibri" w:cs="Times New Roman"/>
                <w:sz w:val="24"/>
                <w:szCs w:val="24"/>
              </w:rPr>
            </w:pPr>
          </w:p>
        </w:tc>
        <w:tc>
          <w:tcPr>
            <w:tcW w:w="3325" w:type="dxa"/>
          </w:tcPr>
          <w:p w14:paraId="7C024265" w14:textId="77777777" w:rsidR="00397A74" w:rsidRPr="00397A74" w:rsidRDefault="00397A74" w:rsidP="00397A74">
            <w:pPr>
              <w:jc w:val="both"/>
              <w:rPr>
                <w:rFonts w:ascii="Calibri" w:eastAsia="Calibri" w:hAnsi="Calibri" w:cs="Calibri"/>
                <w:color w:val="0070C0"/>
                <w:sz w:val="24"/>
                <w:szCs w:val="24"/>
              </w:rPr>
            </w:pPr>
            <w:r w:rsidRPr="00397A74">
              <w:rPr>
                <w:rFonts w:ascii="Calibri" w:eastAsia="Calibri" w:hAnsi="Calibri" w:cs="Calibri"/>
                <w:sz w:val="24"/>
                <w:szCs w:val="24"/>
              </w:rPr>
              <w:t xml:space="preserve">Economical instruments for improving waste tariff </w:t>
            </w:r>
          </w:p>
        </w:tc>
      </w:tr>
    </w:tbl>
    <w:p w14:paraId="69E1B8B1" w14:textId="77777777" w:rsidR="00397A74" w:rsidRPr="00397A74" w:rsidRDefault="00397A74" w:rsidP="00397A74">
      <w:pPr>
        <w:spacing w:after="0"/>
        <w:jc w:val="both"/>
        <w:rPr>
          <w:rFonts w:ascii="Calibri" w:eastAsia="Calibri" w:hAnsi="Calibri" w:cs="Times New Roman"/>
          <w:sz w:val="24"/>
          <w:szCs w:val="24"/>
        </w:rPr>
      </w:pPr>
    </w:p>
    <w:p w14:paraId="137752D1"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Times New Roman"/>
          <w:sz w:val="24"/>
          <w:szCs w:val="24"/>
          <w:highlight w:val="yellow"/>
        </w:rPr>
        <w:t xml:space="preserve">From the table overview, it is recommended that for Module 4 - Financial Sustainability of Waste Management, the training curricula prepared by </w:t>
      </w:r>
      <w:proofErr w:type="spellStart"/>
      <w:r w:rsidRPr="00397A74">
        <w:rPr>
          <w:rFonts w:ascii="Calibri" w:eastAsia="Calibri" w:hAnsi="Calibri" w:cs="Times New Roman"/>
          <w:sz w:val="24"/>
          <w:szCs w:val="24"/>
          <w:highlight w:val="yellow"/>
        </w:rPr>
        <w:t>dldp</w:t>
      </w:r>
      <w:proofErr w:type="spellEnd"/>
      <w:r w:rsidRPr="00397A74">
        <w:rPr>
          <w:rFonts w:ascii="Calibri" w:eastAsia="Calibri" w:hAnsi="Calibri" w:cs="Times New Roman"/>
          <w:sz w:val="24"/>
          <w:szCs w:val="24"/>
          <w:highlight w:val="yellow"/>
        </w:rPr>
        <w:t xml:space="preserve"> covering "Finances (Service Cost Calculation) and Tariff Setting" can be used as basic material for further development. The other topics don't have any training structure at all and need to be developed from scratch using the given resource material package prepared by BtF and GIZ.</w:t>
      </w:r>
    </w:p>
    <w:p w14:paraId="63B0E0B5" w14:textId="77777777" w:rsidR="00397A74" w:rsidRPr="00397A74" w:rsidRDefault="00397A74" w:rsidP="00397A74">
      <w:pPr>
        <w:jc w:val="both"/>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2245"/>
        <w:gridCol w:w="3780"/>
        <w:gridCol w:w="3325"/>
      </w:tblGrid>
      <w:tr w:rsidR="00397A74" w:rsidRPr="00397A74" w14:paraId="6AA26906" w14:textId="77777777" w:rsidTr="00BB2A05">
        <w:tc>
          <w:tcPr>
            <w:tcW w:w="2245" w:type="dxa"/>
          </w:tcPr>
          <w:p w14:paraId="13A97638" w14:textId="77777777" w:rsidR="00397A74" w:rsidRPr="00397A74" w:rsidRDefault="00397A74" w:rsidP="00397A74">
            <w:pPr>
              <w:rPr>
                <w:rFonts w:ascii="Calibri" w:eastAsia="Calibri" w:hAnsi="Calibri" w:cs="Times New Roman"/>
                <w:sz w:val="24"/>
                <w:szCs w:val="24"/>
              </w:rPr>
            </w:pPr>
            <w:r w:rsidRPr="00397A74">
              <w:rPr>
                <w:rFonts w:ascii="Calibri" w:eastAsia="Calibri" w:hAnsi="Calibri" w:cs="Times New Roman"/>
                <w:b/>
                <w:bCs/>
                <w:sz w:val="24"/>
                <w:szCs w:val="24"/>
              </w:rPr>
              <w:t>Modul 5: AWARENESS AND PUBLIC PARTICIPATION INTO WASTE MANAGEMENT</w:t>
            </w:r>
          </w:p>
        </w:tc>
        <w:tc>
          <w:tcPr>
            <w:tcW w:w="3780" w:type="dxa"/>
          </w:tcPr>
          <w:p w14:paraId="6728FC7C" w14:textId="77777777" w:rsidR="00397A74" w:rsidRPr="00397A74" w:rsidRDefault="00397A74" w:rsidP="00397A74">
            <w:pPr>
              <w:jc w:val="center"/>
              <w:rPr>
                <w:rFonts w:ascii="Calibri" w:eastAsia="Calibri" w:hAnsi="Calibri" w:cs="Times New Roman"/>
                <w:sz w:val="24"/>
                <w:szCs w:val="24"/>
              </w:rPr>
            </w:pPr>
            <w:r w:rsidRPr="00397A74">
              <w:rPr>
                <w:rFonts w:ascii="Calibri" w:eastAsia="Calibri" w:hAnsi="Calibri" w:cs="Calibri"/>
                <w:sz w:val="24"/>
                <w:szCs w:val="24"/>
              </w:rPr>
              <w:t>Basic module</w:t>
            </w:r>
          </w:p>
        </w:tc>
        <w:tc>
          <w:tcPr>
            <w:tcW w:w="3325" w:type="dxa"/>
          </w:tcPr>
          <w:p w14:paraId="2A6B1F74" w14:textId="77777777" w:rsidR="00397A74" w:rsidRPr="00397A74" w:rsidRDefault="00397A74" w:rsidP="00397A74">
            <w:pPr>
              <w:jc w:val="center"/>
              <w:rPr>
                <w:rFonts w:ascii="Calibri" w:eastAsia="Calibri" w:hAnsi="Calibri" w:cs="Times New Roman"/>
                <w:sz w:val="24"/>
                <w:szCs w:val="24"/>
              </w:rPr>
            </w:pPr>
            <w:r w:rsidRPr="00397A74">
              <w:rPr>
                <w:rFonts w:ascii="Calibri" w:eastAsia="Calibri" w:hAnsi="Calibri" w:cs="Calibri"/>
                <w:sz w:val="24"/>
                <w:szCs w:val="24"/>
              </w:rPr>
              <w:t>Resource materials</w:t>
            </w:r>
          </w:p>
        </w:tc>
      </w:tr>
      <w:tr w:rsidR="00397A74" w:rsidRPr="00397A74" w14:paraId="5EDE7793" w14:textId="77777777" w:rsidTr="00BB2A05">
        <w:tc>
          <w:tcPr>
            <w:tcW w:w="2245" w:type="dxa"/>
            <w:vMerge w:val="restart"/>
          </w:tcPr>
          <w:p w14:paraId="73A3FABF"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Times New Roman"/>
                <w:sz w:val="24"/>
                <w:szCs w:val="24"/>
              </w:rPr>
              <w:t>Environmental Education and integrated waste management</w:t>
            </w:r>
          </w:p>
        </w:tc>
        <w:tc>
          <w:tcPr>
            <w:tcW w:w="3780" w:type="dxa"/>
          </w:tcPr>
          <w:p w14:paraId="74D75CFB"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05170319"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Public communication, awareness and environmental education</w:t>
            </w:r>
          </w:p>
        </w:tc>
      </w:tr>
      <w:tr w:rsidR="00397A74" w:rsidRPr="00397A74" w14:paraId="47F13CE3" w14:textId="77777777" w:rsidTr="00BB2A05">
        <w:tc>
          <w:tcPr>
            <w:tcW w:w="2245" w:type="dxa"/>
            <w:vMerge/>
          </w:tcPr>
          <w:p w14:paraId="179E23A9" w14:textId="77777777" w:rsidR="00397A74" w:rsidRPr="00397A74" w:rsidRDefault="00397A74" w:rsidP="00397A74">
            <w:pPr>
              <w:jc w:val="both"/>
              <w:rPr>
                <w:rFonts w:ascii="Calibri" w:eastAsia="Calibri" w:hAnsi="Calibri" w:cs="Times New Roman"/>
                <w:sz w:val="24"/>
                <w:szCs w:val="24"/>
              </w:rPr>
            </w:pPr>
          </w:p>
        </w:tc>
        <w:tc>
          <w:tcPr>
            <w:tcW w:w="3780" w:type="dxa"/>
          </w:tcPr>
          <w:p w14:paraId="28CADB65"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094F72BC"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DLDP-Guideline for programs and awareness campaign </w:t>
            </w:r>
          </w:p>
        </w:tc>
      </w:tr>
      <w:tr w:rsidR="00397A74" w:rsidRPr="00397A74" w14:paraId="28AF7FE1" w14:textId="77777777" w:rsidTr="00BB2A05">
        <w:tc>
          <w:tcPr>
            <w:tcW w:w="2245" w:type="dxa"/>
            <w:vMerge/>
          </w:tcPr>
          <w:p w14:paraId="0CB998D9" w14:textId="77777777" w:rsidR="00397A74" w:rsidRPr="00397A74" w:rsidRDefault="00397A74" w:rsidP="00397A74">
            <w:pPr>
              <w:jc w:val="both"/>
              <w:rPr>
                <w:rFonts w:ascii="Calibri" w:eastAsia="Calibri" w:hAnsi="Calibri" w:cs="Times New Roman"/>
                <w:sz w:val="24"/>
                <w:szCs w:val="24"/>
              </w:rPr>
            </w:pPr>
          </w:p>
        </w:tc>
        <w:tc>
          <w:tcPr>
            <w:tcW w:w="3780" w:type="dxa"/>
          </w:tcPr>
          <w:p w14:paraId="47298224"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1E727998"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Public communication on quality of the service offered </w:t>
            </w:r>
          </w:p>
        </w:tc>
      </w:tr>
      <w:tr w:rsidR="00397A74" w:rsidRPr="00397A74" w14:paraId="0477B499" w14:textId="77777777" w:rsidTr="00BB2A05">
        <w:tc>
          <w:tcPr>
            <w:tcW w:w="2245" w:type="dxa"/>
            <w:vMerge/>
          </w:tcPr>
          <w:p w14:paraId="6FC9B566" w14:textId="77777777" w:rsidR="00397A74" w:rsidRPr="00397A74" w:rsidRDefault="00397A74" w:rsidP="00397A74">
            <w:pPr>
              <w:jc w:val="both"/>
              <w:rPr>
                <w:rFonts w:ascii="Calibri" w:eastAsia="Calibri" w:hAnsi="Calibri" w:cs="Times New Roman"/>
                <w:sz w:val="24"/>
                <w:szCs w:val="24"/>
              </w:rPr>
            </w:pPr>
          </w:p>
        </w:tc>
        <w:tc>
          <w:tcPr>
            <w:tcW w:w="3780" w:type="dxa"/>
          </w:tcPr>
          <w:p w14:paraId="28410204"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60F725F3"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Public and business communication on revenue collection</w:t>
            </w:r>
          </w:p>
        </w:tc>
      </w:tr>
      <w:tr w:rsidR="00397A74" w:rsidRPr="00397A74" w14:paraId="444E1A6C" w14:textId="77777777" w:rsidTr="00BB2A05">
        <w:tc>
          <w:tcPr>
            <w:tcW w:w="2245" w:type="dxa"/>
            <w:vMerge/>
          </w:tcPr>
          <w:p w14:paraId="7F57F279" w14:textId="77777777" w:rsidR="00397A74" w:rsidRPr="00397A74" w:rsidRDefault="00397A74" w:rsidP="00397A74">
            <w:pPr>
              <w:jc w:val="both"/>
              <w:rPr>
                <w:rFonts w:ascii="Calibri" w:eastAsia="Calibri" w:hAnsi="Calibri" w:cs="Times New Roman"/>
                <w:sz w:val="24"/>
                <w:szCs w:val="24"/>
              </w:rPr>
            </w:pPr>
          </w:p>
        </w:tc>
        <w:tc>
          <w:tcPr>
            <w:tcW w:w="3780" w:type="dxa"/>
          </w:tcPr>
          <w:p w14:paraId="6BFE0231"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0AA703EC"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Measuring performance of the service and its communication; advices for citizens. Models. </w:t>
            </w:r>
          </w:p>
        </w:tc>
      </w:tr>
      <w:tr w:rsidR="00397A74" w:rsidRPr="00397A74" w14:paraId="447610E3" w14:textId="77777777" w:rsidTr="00BB2A05">
        <w:tc>
          <w:tcPr>
            <w:tcW w:w="2245" w:type="dxa"/>
            <w:vMerge w:val="restart"/>
          </w:tcPr>
          <w:p w14:paraId="03588917"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Times New Roman"/>
                <w:sz w:val="24"/>
                <w:szCs w:val="24"/>
              </w:rPr>
              <w:t>Preventing measures and penalties. Environmental crime and administrative offenses</w:t>
            </w:r>
          </w:p>
        </w:tc>
        <w:tc>
          <w:tcPr>
            <w:tcW w:w="3780" w:type="dxa"/>
          </w:tcPr>
          <w:p w14:paraId="768FE163"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08C68F59"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Manual on local authority competences on prevention of environmental crime </w:t>
            </w:r>
          </w:p>
        </w:tc>
      </w:tr>
      <w:tr w:rsidR="00397A74" w:rsidRPr="00397A74" w14:paraId="57207F0C" w14:textId="77777777" w:rsidTr="00BB2A05">
        <w:tc>
          <w:tcPr>
            <w:tcW w:w="2245" w:type="dxa"/>
            <w:vMerge/>
          </w:tcPr>
          <w:p w14:paraId="0072C037" w14:textId="77777777" w:rsidR="00397A74" w:rsidRPr="00397A74" w:rsidRDefault="00397A74" w:rsidP="00397A74">
            <w:pPr>
              <w:jc w:val="both"/>
              <w:rPr>
                <w:rFonts w:ascii="Calibri" w:eastAsia="Calibri" w:hAnsi="Calibri" w:cs="Times New Roman"/>
                <w:sz w:val="24"/>
                <w:szCs w:val="24"/>
              </w:rPr>
            </w:pPr>
          </w:p>
        </w:tc>
        <w:tc>
          <w:tcPr>
            <w:tcW w:w="3780" w:type="dxa"/>
          </w:tcPr>
          <w:p w14:paraId="4D44B919"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607DD9FC"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Basic assessment on inspection, investigation and punishment of environmental offences and crimes in Albania </w:t>
            </w:r>
          </w:p>
        </w:tc>
      </w:tr>
      <w:tr w:rsidR="00397A74" w:rsidRPr="00397A74" w14:paraId="75E5B3E1" w14:textId="77777777" w:rsidTr="00BB2A05">
        <w:tc>
          <w:tcPr>
            <w:tcW w:w="2245" w:type="dxa"/>
            <w:vMerge/>
          </w:tcPr>
          <w:p w14:paraId="14B6DBC9" w14:textId="77777777" w:rsidR="00397A74" w:rsidRPr="00397A74" w:rsidRDefault="00397A74" w:rsidP="00397A74">
            <w:pPr>
              <w:jc w:val="both"/>
              <w:rPr>
                <w:rFonts w:ascii="Calibri" w:eastAsia="Calibri" w:hAnsi="Calibri" w:cs="Times New Roman"/>
                <w:sz w:val="24"/>
                <w:szCs w:val="24"/>
              </w:rPr>
            </w:pPr>
          </w:p>
        </w:tc>
        <w:tc>
          <w:tcPr>
            <w:tcW w:w="3780" w:type="dxa"/>
          </w:tcPr>
          <w:p w14:paraId="461A5B20"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7C26C1CC"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Measuring citizen satisfaction (online forms and interviews).</w:t>
            </w:r>
          </w:p>
        </w:tc>
      </w:tr>
      <w:tr w:rsidR="00397A74" w:rsidRPr="00397A74" w14:paraId="5EFB5A68" w14:textId="77777777" w:rsidTr="00BB2A05">
        <w:tc>
          <w:tcPr>
            <w:tcW w:w="2245" w:type="dxa"/>
            <w:vMerge w:val="restart"/>
          </w:tcPr>
          <w:p w14:paraId="0832B9D9"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Times New Roman"/>
                <w:sz w:val="24"/>
                <w:szCs w:val="24"/>
              </w:rPr>
              <w:t>Communication and public participation in the management of the service</w:t>
            </w:r>
          </w:p>
        </w:tc>
        <w:tc>
          <w:tcPr>
            <w:tcW w:w="3780" w:type="dxa"/>
          </w:tcPr>
          <w:p w14:paraId="1D107E18"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1CC22468"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Public communication models and plans</w:t>
            </w:r>
          </w:p>
        </w:tc>
      </w:tr>
      <w:tr w:rsidR="00397A74" w:rsidRPr="00397A74" w14:paraId="4B73E781" w14:textId="77777777" w:rsidTr="00BB2A05">
        <w:tc>
          <w:tcPr>
            <w:tcW w:w="2245" w:type="dxa"/>
            <w:vMerge/>
          </w:tcPr>
          <w:p w14:paraId="6BC8438F" w14:textId="77777777" w:rsidR="00397A74" w:rsidRPr="00397A74" w:rsidRDefault="00397A74" w:rsidP="00397A74">
            <w:pPr>
              <w:jc w:val="both"/>
              <w:rPr>
                <w:rFonts w:ascii="Calibri" w:eastAsia="Calibri" w:hAnsi="Calibri" w:cs="Times New Roman"/>
                <w:sz w:val="24"/>
                <w:szCs w:val="24"/>
              </w:rPr>
            </w:pPr>
          </w:p>
        </w:tc>
        <w:tc>
          <w:tcPr>
            <w:tcW w:w="3780" w:type="dxa"/>
          </w:tcPr>
          <w:p w14:paraId="7CD4C7D8" w14:textId="77777777" w:rsidR="00397A74" w:rsidRPr="00397A74" w:rsidRDefault="00397A74" w:rsidP="00397A74">
            <w:pPr>
              <w:jc w:val="both"/>
              <w:rPr>
                <w:rFonts w:ascii="Calibri" w:eastAsia="Calibri" w:hAnsi="Calibri" w:cs="Times New Roman"/>
                <w:sz w:val="24"/>
                <w:szCs w:val="24"/>
              </w:rPr>
            </w:pPr>
          </w:p>
        </w:tc>
        <w:tc>
          <w:tcPr>
            <w:tcW w:w="3325" w:type="dxa"/>
            <w:vAlign w:val="center"/>
          </w:tcPr>
          <w:p w14:paraId="0A03B643"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Calibri"/>
                <w:sz w:val="24"/>
                <w:szCs w:val="24"/>
              </w:rPr>
              <w:t xml:space="preserve">Awareness campaign and door to door collection. Findings </w:t>
            </w:r>
          </w:p>
        </w:tc>
      </w:tr>
    </w:tbl>
    <w:p w14:paraId="38851E6C" w14:textId="77777777" w:rsidR="00397A74" w:rsidRPr="00397A74" w:rsidRDefault="00397A74" w:rsidP="00397A74">
      <w:pPr>
        <w:jc w:val="both"/>
        <w:rPr>
          <w:rFonts w:ascii="Calibri" w:eastAsia="Calibri" w:hAnsi="Calibri" w:cs="Times New Roman"/>
          <w:sz w:val="24"/>
          <w:szCs w:val="24"/>
        </w:rPr>
      </w:pPr>
    </w:p>
    <w:p w14:paraId="65ECF7EA" w14:textId="77777777" w:rsidR="00397A74" w:rsidRPr="00397A74" w:rsidRDefault="00397A74" w:rsidP="00397A74">
      <w:pPr>
        <w:jc w:val="both"/>
        <w:rPr>
          <w:rFonts w:ascii="Calibri" w:eastAsia="Calibri" w:hAnsi="Calibri" w:cs="Times New Roman"/>
          <w:sz w:val="24"/>
          <w:szCs w:val="24"/>
        </w:rPr>
      </w:pPr>
      <w:r w:rsidRPr="00397A74">
        <w:rPr>
          <w:rFonts w:ascii="Calibri" w:eastAsia="Calibri" w:hAnsi="Calibri" w:cs="Times New Roman"/>
          <w:sz w:val="24"/>
          <w:szCs w:val="24"/>
          <w:highlight w:val="yellow"/>
        </w:rPr>
        <w:t>From the table overview, it is recommended that for Module 5 - Awareness and Public Participation in Waste Management, the module needs to be developed from scratch using the given resource material package prepared by BtF and OSCE. It is very important to be creative and focused on skill development. Therefore, follow-up coaching sessions should be planned.</w:t>
      </w:r>
    </w:p>
    <w:p w14:paraId="1E86929E" w14:textId="77777777" w:rsidR="00397A74" w:rsidRDefault="00397A74"/>
    <w:sectPr w:rsidR="00397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74"/>
    <w:rsid w:val="00352A40"/>
    <w:rsid w:val="00397A74"/>
    <w:rsid w:val="00715714"/>
    <w:rsid w:val="007B60DB"/>
    <w:rsid w:val="008F6947"/>
    <w:rsid w:val="009A4E50"/>
    <w:rsid w:val="00C12233"/>
    <w:rsid w:val="00ED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64966"/>
  <w15:chartTrackingRefBased/>
  <w15:docId w15:val="{0FC4A217-2A3D-4DAA-9AA1-42FCC6ED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A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A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A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A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A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A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A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A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A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A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A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A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A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A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A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A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A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A74"/>
    <w:rPr>
      <w:rFonts w:eastAsiaTheme="majorEastAsia" w:cstheme="majorBidi"/>
      <w:color w:val="272727" w:themeColor="text1" w:themeTint="D8"/>
    </w:rPr>
  </w:style>
  <w:style w:type="paragraph" w:styleId="Title">
    <w:name w:val="Title"/>
    <w:basedOn w:val="Normal"/>
    <w:next w:val="Normal"/>
    <w:link w:val="TitleChar"/>
    <w:uiPriority w:val="10"/>
    <w:qFormat/>
    <w:rsid w:val="00397A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A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A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A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A74"/>
    <w:pPr>
      <w:spacing w:before="160"/>
      <w:jc w:val="center"/>
    </w:pPr>
    <w:rPr>
      <w:i/>
      <w:iCs/>
      <w:color w:val="404040" w:themeColor="text1" w:themeTint="BF"/>
    </w:rPr>
  </w:style>
  <w:style w:type="character" w:customStyle="1" w:styleId="QuoteChar">
    <w:name w:val="Quote Char"/>
    <w:basedOn w:val="DefaultParagraphFont"/>
    <w:link w:val="Quote"/>
    <w:uiPriority w:val="29"/>
    <w:rsid w:val="00397A74"/>
    <w:rPr>
      <w:i/>
      <w:iCs/>
      <w:color w:val="404040" w:themeColor="text1" w:themeTint="BF"/>
    </w:rPr>
  </w:style>
  <w:style w:type="paragraph" w:styleId="ListParagraph">
    <w:name w:val="List Paragraph"/>
    <w:basedOn w:val="Normal"/>
    <w:uiPriority w:val="34"/>
    <w:qFormat/>
    <w:rsid w:val="00397A74"/>
    <w:pPr>
      <w:ind w:left="720"/>
      <w:contextualSpacing/>
    </w:pPr>
  </w:style>
  <w:style w:type="character" w:styleId="IntenseEmphasis">
    <w:name w:val="Intense Emphasis"/>
    <w:basedOn w:val="DefaultParagraphFont"/>
    <w:uiPriority w:val="21"/>
    <w:qFormat/>
    <w:rsid w:val="00397A74"/>
    <w:rPr>
      <w:i/>
      <w:iCs/>
      <w:color w:val="0F4761" w:themeColor="accent1" w:themeShade="BF"/>
    </w:rPr>
  </w:style>
  <w:style w:type="paragraph" w:styleId="IntenseQuote">
    <w:name w:val="Intense Quote"/>
    <w:basedOn w:val="Normal"/>
    <w:next w:val="Normal"/>
    <w:link w:val="IntenseQuoteChar"/>
    <w:uiPriority w:val="30"/>
    <w:qFormat/>
    <w:rsid w:val="00397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A74"/>
    <w:rPr>
      <w:i/>
      <w:iCs/>
      <w:color w:val="0F4761" w:themeColor="accent1" w:themeShade="BF"/>
    </w:rPr>
  </w:style>
  <w:style w:type="character" w:styleId="IntenseReference">
    <w:name w:val="Intense Reference"/>
    <w:basedOn w:val="DefaultParagraphFont"/>
    <w:uiPriority w:val="32"/>
    <w:qFormat/>
    <w:rsid w:val="00397A74"/>
    <w:rPr>
      <w:b/>
      <w:bCs/>
      <w:smallCaps/>
      <w:color w:val="0F4761" w:themeColor="accent1" w:themeShade="BF"/>
      <w:spacing w:val="5"/>
    </w:rPr>
  </w:style>
  <w:style w:type="table" w:styleId="TableGrid">
    <w:name w:val="Table Grid"/>
    <w:basedOn w:val="TableNormal"/>
    <w:uiPriority w:val="39"/>
    <w:rsid w:val="00397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FFEDA924DBB7458D700DB3DB0B6554" ma:contentTypeVersion="15" ma:contentTypeDescription="Create a new document." ma:contentTypeScope="" ma:versionID="1a5c2ea18e5e26437975eef06a4eacba">
  <xsd:schema xmlns:xsd="http://www.w3.org/2001/XMLSchema" xmlns:xs="http://www.w3.org/2001/XMLSchema" xmlns:p="http://schemas.microsoft.com/office/2006/metadata/properties" xmlns:ns2="3466bae5-2255-4667-b2b4-427a49a75148" xmlns:ns3="29a4f50c-37ba-490b-b4bb-8234026d7272" targetNamespace="http://schemas.microsoft.com/office/2006/metadata/properties" ma:root="true" ma:fieldsID="561409f38a024491d1beb7ade32b7834" ns2:_="" ns3:_="">
    <xsd:import namespace="3466bae5-2255-4667-b2b4-427a49a75148"/>
    <xsd:import namespace="29a4f50c-37ba-490b-b4bb-8234026d72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6bae5-2255-4667-b2b4-427a49a751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ff4288-dd5e-4806-8199-4f8d1b8f4625}" ma:internalName="TaxCatchAll" ma:showField="CatchAllData" ma:web="3466bae5-2255-4667-b2b4-427a49a75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a4f50c-37ba-490b-b4bb-8234026d72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c43cd4-23ed-4fb6-b16a-0777e254c0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EC881-E933-4BBA-85CE-07B887AD4DDC}">
  <ds:schemaRefs>
    <ds:schemaRef ds:uri="http://schemas.microsoft.com/sharepoint/v3/contenttype/forms"/>
  </ds:schemaRefs>
</ds:datastoreItem>
</file>

<file path=customXml/itemProps2.xml><?xml version="1.0" encoding="utf-8"?>
<ds:datastoreItem xmlns:ds="http://schemas.openxmlformats.org/officeDocument/2006/customXml" ds:itemID="{FB280A54-86FE-43C2-8CF4-E555FC360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6bae5-2255-4667-b2b4-427a49a75148"/>
    <ds:schemaRef ds:uri="29a4f50c-37ba-490b-b4bb-8234026d7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1031</Words>
  <Characters>6292</Characters>
  <Application>Microsoft Office Word</Application>
  <DocSecurity>0</DocSecurity>
  <Lines>321</Lines>
  <Paragraphs>84</Paragraphs>
  <ScaleCrop>false</ScaleCrop>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Arben Kopliku</dc:creator>
  <cp:keywords/>
  <dc:description/>
  <cp:lastModifiedBy>Arben Kopliku</cp:lastModifiedBy>
  <cp:revision>2</cp:revision>
  <dcterms:created xsi:type="dcterms:W3CDTF">2025-01-13T11:43:00Z</dcterms:created>
  <dcterms:modified xsi:type="dcterms:W3CDTF">2025-01-13T11:43:00Z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7b52d06d7ab18c11774546946bb4257562f953e1fb2e9943456a0eae21cb010e</vt:lpwstr>
  </property>
</Properties>
</file>